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CE65E" w14:textId="7CE5BFB7" w:rsidR="00BC77A7" w:rsidRDefault="003444B1" w:rsidP="003444B1">
      <w:pPr>
        <w:widowControl w:val="0"/>
        <w:jc w:val="center"/>
        <w:rPr>
          <w:b/>
          <w:bCs/>
        </w:rPr>
      </w:pPr>
      <w:r w:rsidRPr="003444B1">
        <w:rPr>
          <w:b/>
          <w:bCs/>
        </w:rPr>
        <w:t>PUC DOCKET NO. 56211</w:t>
      </w:r>
    </w:p>
    <w:p w14:paraId="6247C7D6" w14:textId="77777777" w:rsidR="00670651" w:rsidRDefault="00670651" w:rsidP="00670651">
      <w:pPr>
        <w:jc w:val="left"/>
        <w:textAlignment w:val="baseline"/>
        <w:rPr>
          <w:rFonts w:eastAsia="Times New Roman"/>
        </w:rPr>
      </w:pPr>
      <w:bookmarkStart w:id="0" w:name="_Toc446073682"/>
      <w:bookmarkStart w:id="1" w:name="_Toc478477912"/>
      <w:r w:rsidRPr="00670651">
        <w:rPr>
          <w:rFonts w:eastAsia="Times New Roman"/>
        </w:rPr>
        <w:t> </w:t>
      </w:r>
    </w:p>
    <w:p w14:paraId="4E066E74" w14:textId="77777777" w:rsidR="00343E75" w:rsidRPr="00670651" w:rsidRDefault="00343E75" w:rsidP="00670651">
      <w:pPr>
        <w:jc w:val="left"/>
        <w:textAlignment w:val="baseline"/>
        <w:rPr>
          <w:rFonts w:ascii="Segoe UI" w:eastAsia="Times New Roman" w:hAnsi="Segoe UI" w:cs="Segoe UI"/>
          <w:sz w:val="18"/>
          <w:szCs w:val="18"/>
        </w:rPr>
      </w:pPr>
    </w:p>
    <w:tbl>
      <w:tblPr>
        <w:tblW w:w="906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60"/>
        <w:gridCol w:w="450"/>
        <w:gridCol w:w="4050"/>
      </w:tblGrid>
      <w:tr w:rsidR="00670651" w:rsidRPr="00670651" w14:paraId="0A17A9BB" w14:textId="77777777" w:rsidTr="00F77FDE">
        <w:trPr>
          <w:trHeight w:val="300"/>
        </w:trPr>
        <w:tc>
          <w:tcPr>
            <w:tcW w:w="4560" w:type="dxa"/>
            <w:tcBorders>
              <w:top w:val="nil"/>
              <w:left w:val="nil"/>
              <w:bottom w:val="nil"/>
              <w:right w:val="nil"/>
            </w:tcBorders>
            <w:shd w:val="clear" w:color="auto" w:fill="auto"/>
            <w:hideMark/>
          </w:tcPr>
          <w:p w14:paraId="76CA44F7" w14:textId="77777777" w:rsidR="00670651" w:rsidRPr="00670651" w:rsidRDefault="00670651" w:rsidP="00670651">
            <w:pPr>
              <w:jc w:val="left"/>
              <w:textAlignment w:val="baseline"/>
              <w:rPr>
                <w:rFonts w:eastAsia="Times New Roman"/>
              </w:rPr>
            </w:pPr>
            <w:r w:rsidRPr="00670651">
              <w:rPr>
                <w:rFonts w:eastAsia="Times New Roman"/>
                <w:b/>
                <w:bCs/>
              </w:rPr>
              <w:t xml:space="preserve">APPLICATION OF </w:t>
            </w:r>
            <w:r w:rsidRPr="00670651">
              <w:rPr>
                <w:rFonts w:eastAsia="Times New Roman"/>
                <w:b/>
                <w:bCs/>
                <w:color w:val="000000"/>
              </w:rPr>
              <w:t>CENTERPOINT</w:t>
            </w:r>
            <w:r w:rsidRPr="00670651">
              <w:rPr>
                <w:rFonts w:eastAsia="Times New Roman"/>
                <w:b/>
                <w:bCs/>
              </w:rPr>
              <w:t xml:space="preserve"> ENERGY HOUSTON ELECTRIC, LLC FOR AUTHORITY TO CHANGE RATES</w:t>
            </w:r>
            <w:r w:rsidRPr="00670651">
              <w:rPr>
                <w:rFonts w:eastAsia="Times New Roman"/>
              </w:rPr>
              <w:t> </w:t>
            </w:r>
          </w:p>
        </w:tc>
        <w:tc>
          <w:tcPr>
            <w:tcW w:w="450" w:type="dxa"/>
            <w:tcBorders>
              <w:top w:val="nil"/>
              <w:left w:val="nil"/>
              <w:bottom w:val="nil"/>
              <w:right w:val="nil"/>
            </w:tcBorders>
            <w:shd w:val="clear" w:color="auto" w:fill="auto"/>
            <w:hideMark/>
          </w:tcPr>
          <w:p w14:paraId="48C4AAF8" w14:textId="77777777" w:rsidR="00670651" w:rsidRPr="00670651" w:rsidRDefault="00670651" w:rsidP="00670651">
            <w:pPr>
              <w:ind w:left="105" w:right="105"/>
              <w:jc w:val="center"/>
              <w:textAlignment w:val="baseline"/>
              <w:rPr>
                <w:rFonts w:eastAsia="Times New Roman"/>
              </w:rPr>
            </w:pPr>
            <w:r w:rsidRPr="00670651">
              <w:rPr>
                <w:rFonts w:eastAsia="Times New Roman"/>
                <w:b/>
                <w:bCs/>
                <w:color w:val="000000"/>
              </w:rPr>
              <w:t>§</w:t>
            </w:r>
            <w:r w:rsidRPr="00670651">
              <w:rPr>
                <w:rFonts w:eastAsia="Times New Roman"/>
                <w:color w:val="000000"/>
              </w:rPr>
              <w:t> </w:t>
            </w:r>
          </w:p>
          <w:p w14:paraId="3BDFD405" w14:textId="77777777" w:rsidR="00670651" w:rsidRPr="00670651" w:rsidRDefault="00670651" w:rsidP="00670651">
            <w:pPr>
              <w:ind w:left="105" w:right="105"/>
              <w:jc w:val="center"/>
              <w:textAlignment w:val="baseline"/>
              <w:rPr>
                <w:rFonts w:eastAsia="Times New Roman"/>
              </w:rPr>
            </w:pPr>
            <w:r w:rsidRPr="00670651">
              <w:rPr>
                <w:rFonts w:eastAsia="Times New Roman"/>
                <w:b/>
                <w:bCs/>
                <w:color w:val="000000"/>
              </w:rPr>
              <w:t>§</w:t>
            </w:r>
            <w:r w:rsidRPr="00670651">
              <w:rPr>
                <w:rFonts w:eastAsia="Times New Roman"/>
                <w:color w:val="000000"/>
              </w:rPr>
              <w:t> </w:t>
            </w:r>
          </w:p>
          <w:p w14:paraId="14D59B30" w14:textId="77777777" w:rsidR="00670651" w:rsidRPr="00670651" w:rsidRDefault="00670651" w:rsidP="00670651">
            <w:pPr>
              <w:ind w:left="105" w:right="105"/>
              <w:jc w:val="center"/>
              <w:textAlignment w:val="baseline"/>
              <w:rPr>
                <w:rFonts w:eastAsia="Times New Roman"/>
              </w:rPr>
            </w:pPr>
            <w:r w:rsidRPr="00670651">
              <w:rPr>
                <w:rFonts w:eastAsia="Times New Roman"/>
                <w:b/>
                <w:bCs/>
                <w:color w:val="000000"/>
              </w:rPr>
              <w:t>§</w:t>
            </w:r>
            <w:r w:rsidRPr="00670651">
              <w:rPr>
                <w:rFonts w:eastAsia="Times New Roman"/>
                <w:color w:val="000000"/>
              </w:rPr>
              <w:t> </w:t>
            </w:r>
          </w:p>
          <w:p w14:paraId="61AF2BF8" w14:textId="1E525AC6" w:rsidR="00670651" w:rsidRPr="00670651" w:rsidRDefault="00670651" w:rsidP="00670651">
            <w:pPr>
              <w:ind w:left="105" w:right="105"/>
              <w:textAlignment w:val="baseline"/>
              <w:rPr>
                <w:rFonts w:eastAsia="Times New Roman"/>
              </w:rPr>
            </w:pPr>
          </w:p>
          <w:p w14:paraId="1836B764" w14:textId="77777777" w:rsidR="00670651" w:rsidRPr="00670651" w:rsidRDefault="00670651" w:rsidP="00670651">
            <w:pPr>
              <w:ind w:left="105" w:right="105"/>
              <w:jc w:val="center"/>
              <w:textAlignment w:val="baseline"/>
              <w:rPr>
                <w:rFonts w:eastAsia="Times New Roman"/>
              </w:rPr>
            </w:pPr>
            <w:r w:rsidRPr="00670651">
              <w:rPr>
                <w:rFonts w:eastAsia="Times New Roman"/>
                <w:color w:val="000000"/>
              </w:rPr>
              <w:t> </w:t>
            </w:r>
          </w:p>
          <w:p w14:paraId="06263932" w14:textId="77777777" w:rsidR="00670651" w:rsidRPr="00670651" w:rsidRDefault="00670651" w:rsidP="00670651">
            <w:pPr>
              <w:ind w:left="105" w:right="105"/>
              <w:jc w:val="center"/>
              <w:textAlignment w:val="baseline"/>
              <w:rPr>
                <w:rFonts w:eastAsia="Times New Roman"/>
              </w:rPr>
            </w:pPr>
            <w:r w:rsidRPr="00670651">
              <w:rPr>
                <w:rFonts w:eastAsia="Times New Roman"/>
                <w:color w:val="000000"/>
              </w:rPr>
              <w:t> </w:t>
            </w:r>
          </w:p>
        </w:tc>
        <w:tc>
          <w:tcPr>
            <w:tcW w:w="4050" w:type="dxa"/>
            <w:tcBorders>
              <w:top w:val="nil"/>
              <w:left w:val="nil"/>
              <w:bottom w:val="nil"/>
              <w:right w:val="nil"/>
            </w:tcBorders>
            <w:shd w:val="clear" w:color="auto" w:fill="auto"/>
            <w:hideMark/>
          </w:tcPr>
          <w:p w14:paraId="036CD9AE" w14:textId="77777777" w:rsidR="00670651" w:rsidRPr="00670651" w:rsidRDefault="00670651" w:rsidP="00670651">
            <w:pPr>
              <w:jc w:val="center"/>
              <w:textAlignment w:val="baseline"/>
              <w:rPr>
                <w:rFonts w:eastAsia="Times New Roman"/>
              </w:rPr>
            </w:pPr>
            <w:r w:rsidRPr="00670651">
              <w:rPr>
                <w:rFonts w:eastAsia="Times New Roman"/>
                <w:b/>
                <w:bCs/>
                <w:color w:val="000000"/>
              </w:rPr>
              <w:t>PUBLIC UTILITY COMMISSION</w:t>
            </w:r>
            <w:r w:rsidRPr="00670651">
              <w:rPr>
                <w:rFonts w:eastAsia="Times New Roman"/>
                <w:color w:val="000000"/>
              </w:rPr>
              <w:t> </w:t>
            </w:r>
          </w:p>
          <w:p w14:paraId="01E7A9A1" w14:textId="77777777" w:rsidR="00670651" w:rsidRPr="00670651" w:rsidRDefault="00670651" w:rsidP="00670651">
            <w:pPr>
              <w:jc w:val="center"/>
              <w:textAlignment w:val="baseline"/>
              <w:rPr>
                <w:rFonts w:eastAsia="Times New Roman"/>
              </w:rPr>
            </w:pPr>
            <w:r w:rsidRPr="00670651">
              <w:rPr>
                <w:rFonts w:eastAsia="Times New Roman"/>
                <w:color w:val="000000"/>
              </w:rPr>
              <w:t> </w:t>
            </w:r>
          </w:p>
          <w:p w14:paraId="2F63288E" w14:textId="77777777" w:rsidR="00670651" w:rsidRPr="00670651" w:rsidRDefault="00670651" w:rsidP="00670651">
            <w:pPr>
              <w:jc w:val="center"/>
              <w:textAlignment w:val="baseline"/>
              <w:rPr>
                <w:rFonts w:eastAsia="Times New Roman"/>
              </w:rPr>
            </w:pPr>
            <w:r w:rsidRPr="00670651">
              <w:rPr>
                <w:rFonts w:eastAsia="Times New Roman"/>
                <w:b/>
                <w:bCs/>
                <w:color w:val="000000"/>
              </w:rPr>
              <w:t>OF TEXAS</w:t>
            </w:r>
            <w:r w:rsidRPr="00670651">
              <w:rPr>
                <w:rFonts w:eastAsia="Times New Roman"/>
                <w:color w:val="000000"/>
              </w:rPr>
              <w:t> </w:t>
            </w:r>
          </w:p>
        </w:tc>
      </w:tr>
    </w:tbl>
    <w:p w14:paraId="48D722C1"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rPr>
        <w:t> </w:t>
      </w:r>
    </w:p>
    <w:p w14:paraId="005D2C52"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rPr>
        <w:t> </w:t>
      </w:r>
    </w:p>
    <w:p w14:paraId="1179EFFA"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rPr>
        <w:t> </w:t>
      </w:r>
    </w:p>
    <w:p w14:paraId="0DF8076B"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rPr>
        <w:t> </w:t>
      </w:r>
    </w:p>
    <w:p w14:paraId="7F413B30"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rPr>
        <w:t> </w:t>
      </w:r>
    </w:p>
    <w:p w14:paraId="04888FFE"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rPr>
        <w:t> </w:t>
      </w:r>
    </w:p>
    <w:p w14:paraId="0608AA04"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b/>
          <w:bCs/>
        </w:rPr>
        <w:t>DIRECT TESTIMONY</w:t>
      </w:r>
      <w:r w:rsidRPr="00670651">
        <w:rPr>
          <w:rFonts w:eastAsia="Times New Roman"/>
        </w:rPr>
        <w:t> </w:t>
      </w:r>
    </w:p>
    <w:p w14:paraId="156F0B69"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rPr>
        <w:t> </w:t>
      </w:r>
    </w:p>
    <w:p w14:paraId="60157836"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b/>
          <w:bCs/>
        </w:rPr>
        <w:t>OF</w:t>
      </w:r>
      <w:r w:rsidRPr="00670651">
        <w:rPr>
          <w:rFonts w:eastAsia="Times New Roman"/>
        </w:rPr>
        <w:t> </w:t>
      </w:r>
    </w:p>
    <w:p w14:paraId="32B18AE2"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rPr>
        <w:t> </w:t>
      </w:r>
    </w:p>
    <w:p w14:paraId="6029BCB8" w14:textId="09B5B5BD" w:rsidR="00670651" w:rsidRPr="00670651" w:rsidRDefault="00670651" w:rsidP="00670651">
      <w:pPr>
        <w:jc w:val="center"/>
        <w:textAlignment w:val="baseline"/>
        <w:rPr>
          <w:rFonts w:ascii="Segoe UI" w:eastAsia="Times New Roman" w:hAnsi="Segoe UI" w:cs="Segoe UI"/>
          <w:sz w:val="18"/>
          <w:szCs w:val="18"/>
        </w:rPr>
      </w:pPr>
      <w:r>
        <w:rPr>
          <w:rFonts w:eastAsia="Times New Roman"/>
          <w:b/>
          <w:bCs/>
        </w:rPr>
        <w:t>JASON M. RYAN</w:t>
      </w:r>
      <w:r w:rsidRPr="00670651">
        <w:rPr>
          <w:rFonts w:eastAsia="Times New Roman"/>
        </w:rPr>
        <w:t> </w:t>
      </w:r>
    </w:p>
    <w:p w14:paraId="3C39B6A9"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rPr>
        <w:t> </w:t>
      </w:r>
    </w:p>
    <w:p w14:paraId="0D2146BE"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b/>
          <w:bCs/>
        </w:rPr>
        <w:t>ON BEHALF OF</w:t>
      </w:r>
      <w:r w:rsidRPr="00670651">
        <w:rPr>
          <w:rFonts w:eastAsia="Times New Roman"/>
        </w:rPr>
        <w:t> </w:t>
      </w:r>
    </w:p>
    <w:p w14:paraId="50A3963A"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rPr>
        <w:t> </w:t>
      </w:r>
    </w:p>
    <w:p w14:paraId="2EC7198B" w14:textId="77777777" w:rsidR="00670651" w:rsidRPr="00670651" w:rsidRDefault="00670651" w:rsidP="00670651">
      <w:pPr>
        <w:jc w:val="center"/>
        <w:textAlignment w:val="baseline"/>
        <w:rPr>
          <w:rFonts w:ascii="Segoe UI" w:eastAsia="Times New Roman" w:hAnsi="Segoe UI" w:cs="Segoe UI"/>
          <w:sz w:val="18"/>
          <w:szCs w:val="18"/>
        </w:rPr>
      </w:pPr>
      <w:r w:rsidRPr="00670651">
        <w:rPr>
          <w:rFonts w:eastAsia="Times New Roman"/>
          <w:b/>
          <w:bCs/>
        </w:rPr>
        <w:t>CENTERPOINT ENERGY HOUSTON ELECTRIC, LLC</w:t>
      </w:r>
      <w:r w:rsidRPr="00670651">
        <w:rPr>
          <w:rFonts w:eastAsia="Times New Roman"/>
        </w:rPr>
        <w:t> </w:t>
      </w:r>
    </w:p>
    <w:p w14:paraId="272BC79C" w14:textId="77777777" w:rsidR="00670651" w:rsidRPr="00670651" w:rsidRDefault="00670651" w:rsidP="00670651">
      <w:pPr>
        <w:jc w:val="left"/>
        <w:textAlignment w:val="baseline"/>
        <w:rPr>
          <w:rFonts w:ascii="Segoe UI" w:eastAsia="Times New Roman" w:hAnsi="Segoe UI" w:cs="Segoe UI"/>
          <w:sz w:val="18"/>
          <w:szCs w:val="18"/>
        </w:rPr>
      </w:pPr>
      <w:r w:rsidRPr="00670651">
        <w:rPr>
          <w:rFonts w:eastAsia="Times New Roman"/>
        </w:rPr>
        <w:t> </w:t>
      </w:r>
    </w:p>
    <w:p w14:paraId="6EA7B4FF" w14:textId="7DEE773A" w:rsidR="00670651" w:rsidRDefault="00670651" w:rsidP="00670651">
      <w:pPr>
        <w:pStyle w:val="PCROutline1"/>
        <w:widowControl w:val="0"/>
        <w:tabs>
          <w:tab w:val="clear" w:pos="3870"/>
        </w:tabs>
        <w:ind w:left="0" w:firstLine="0"/>
        <w:rPr>
          <w:u w:val="single"/>
        </w:rPr>
      </w:pPr>
      <w:r>
        <w:rPr>
          <w:u w:val="single"/>
        </w:rPr>
        <w:br/>
      </w:r>
    </w:p>
    <w:p w14:paraId="4277C546" w14:textId="6DEBC9C5" w:rsidR="003444B1" w:rsidRDefault="003444B1">
      <w:pPr>
        <w:ind w:left="720" w:right="720"/>
        <w:jc w:val="left"/>
        <w:rPr>
          <w:u w:val="single"/>
        </w:rPr>
      </w:pPr>
    </w:p>
    <w:p w14:paraId="213CA0C3" w14:textId="77777777" w:rsidR="003444B1" w:rsidRDefault="003444B1">
      <w:pPr>
        <w:ind w:left="720" w:right="720"/>
        <w:jc w:val="left"/>
        <w:rPr>
          <w:u w:val="single"/>
        </w:rPr>
      </w:pPr>
    </w:p>
    <w:p w14:paraId="6FCFD1AB" w14:textId="77777777" w:rsidR="003444B1" w:rsidRDefault="003444B1">
      <w:pPr>
        <w:ind w:left="720" w:right="720"/>
        <w:jc w:val="left"/>
        <w:rPr>
          <w:u w:val="single"/>
        </w:rPr>
      </w:pPr>
    </w:p>
    <w:p w14:paraId="59AFE274" w14:textId="77777777" w:rsidR="003444B1" w:rsidRDefault="003444B1">
      <w:pPr>
        <w:ind w:left="720" w:right="720"/>
        <w:jc w:val="left"/>
        <w:rPr>
          <w:u w:val="single"/>
        </w:rPr>
      </w:pPr>
    </w:p>
    <w:p w14:paraId="56C25A42" w14:textId="77777777" w:rsidR="003444B1" w:rsidRDefault="003444B1">
      <w:pPr>
        <w:ind w:left="720" w:right="720"/>
        <w:jc w:val="left"/>
        <w:rPr>
          <w:u w:val="single"/>
        </w:rPr>
      </w:pPr>
    </w:p>
    <w:p w14:paraId="13CF535E" w14:textId="77777777" w:rsidR="003444B1" w:rsidRDefault="003444B1">
      <w:pPr>
        <w:ind w:left="720" w:right="720"/>
        <w:jc w:val="left"/>
        <w:rPr>
          <w:u w:val="single"/>
        </w:rPr>
      </w:pPr>
    </w:p>
    <w:p w14:paraId="7A85679E" w14:textId="77777777" w:rsidR="003444B1" w:rsidRDefault="003444B1">
      <w:pPr>
        <w:ind w:left="720" w:right="720"/>
        <w:jc w:val="left"/>
        <w:rPr>
          <w:u w:val="single"/>
        </w:rPr>
      </w:pPr>
    </w:p>
    <w:p w14:paraId="7340CE6E" w14:textId="77777777" w:rsidR="003444B1" w:rsidRDefault="003444B1">
      <w:pPr>
        <w:ind w:left="720" w:right="720"/>
        <w:jc w:val="left"/>
        <w:rPr>
          <w:u w:val="single"/>
        </w:rPr>
      </w:pPr>
    </w:p>
    <w:p w14:paraId="5A43485F" w14:textId="77777777" w:rsidR="003444B1" w:rsidRDefault="003444B1">
      <w:pPr>
        <w:ind w:left="720" w:right="720"/>
        <w:jc w:val="left"/>
        <w:rPr>
          <w:u w:val="single"/>
        </w:rPr>
      </w:pPr>
    </w:p>
    <w:p w14:paraId="3B873BFF" w14:textId="77777777" w:rsidR="003444B1" w:rsidRPr="003444B1" w:rsidRDefault="003444B1" w:rsidP="003444B1">
      <w:pPr>
        <w:ind w:left="720" w:right="720"/>
        <w:jc w:val="center"/>
        <w:rPr>
          <w:b/>
          <w:bCs/>
        </w:rPr>
      </w:pPr>
    </w:p>
    <w:p w14:paraId="2BA84765" w14:textId="5427701F" w:rsidR="003444B1" w:rsidRPr="003444B1" w:rsidRDefault="003444B1" w:rsidP="003444B1">
      <w:pPr>
        <w:ind w:left="720" w:right="720"/>
        <w:jc w:val="center"/>
        <w:rPr>
          <w:b/>
          <w:bCs/>
        </w:rPr>
      </w:pPr>
      <w:r w:rsidRPr="003444B1">
        <w:rPr>
          <w:b/>
          <w:bCs/>
        </w:rPr>
        <w:t>MARCH 2024</w:t>
      </w:r>
    </w:p>
    <w:p w14:paraId="0315B84D" w14:textId="77777777" w:rsidR="003444B1" w:rsidRDefault="003444B1">
      <w:pPr>
        <w:ind w:left="720" w:right="720"/>
        <w:jc w:val="left"/>
        <w:rPr>
          <w:u w:val="single"/>
        </w:rPr>
      </w:pPr>
    </w:p>
    <w:p w14:paraId="4710E346" w14:textId="77777777" w:rsidR="003444B1" w:rsidRDefault="003444B1">
      <w:pPr>
        <w:ind w:left="720" w:right="720"/>
        <w:jc w:val="left"/>
        <w:rPr>
          <w:u w:val="single"/>
        </w:rPr>
      </w:pPr>
    </w:p>
    <w:p w14:paraId="746C0183" w14:textId="77777777" w:rsidR="003444B1" w:rsidRDefault="003444B1">
      <w:pPr>
        <w:ind w:left="720" w:right="720"/>
        <w:jc w:val="left"/>
        <w:rPr>
          <w:u w:val="single"/>
        </w:rPr>
        <w:sectPr w:rsidR="003444B1" w:rsidSect="003444B1">
          <w:headerReference w:type="even" r:id="rId12"/>
          <w:headerReference w:type="default" r:id="rId13"/>
          <w:pgSz w:w="12240" w:h="15840"/>
          <w:pgMar w:top="1440" w:right="1440" w:bottom="1440" w:left="2160" w:header="720" w:footer="720" w:gutter="0"/>
          <w:cols w:space="720"/>
        </w:sectPr>
      </w:pPr>
    </w:p>
    <w:p w14:paraId="3B927DBC" w14:textId="38D53683" w:rsidR="0069450A" w:rsidRDefault="00E805A1" w:rsidP="003444B1">
      <w:pPr>
        <w:pStyle w:val="PCROutline1"/>
        <w:widowControl w:val="0"/>
        <w:tabs>
          <w:tab w:val="clear" w:pos="3870"/>
        </w:tabs>
        <w:ind w:left="0" w:firstLine="0"/>
        <w:outlineLvl w:val="9"/>
        <w:rPr>
          <w:u w:val="single"/>
        </w:rPr>
      </w:pPr>
      <w:r>
        <w:rPr>
          <w:u w:val="single"/>
        </w:rPr>
        <w:lastRenderedPageBreak/>
        <w:t>TABLE OF CONTENTS</w:t>
      </w:r>
    </w:p>
    <w:sdt>
      <w:sdtPr>
        <w:rPr>
          <w:bCs w:val="0"/>
          <w:caps w:val="0"/>
          <w:noProof w:val="0"/>
        </w:rPr>
        <w:id w:val="458237573"/>
        <w:docPartObj>
          <w:docPartGallery w:val="Table of Contents"/>
          <w:docPartUnique/>
        </w:docPartObj>
      </w:sdtPr>
      <w:sdtEndPr>
        <w:rPr>
          <w:b/>
        </w:rPr>
      </w:sdtEndPr>
      <w:sdtContent>
        <w:p w14:paraId="1CAACAC9" w14:textId="77777777" w:rsidR="00194051" w:rsidRPr="00194051" w:rsidRDefault="00194051" w:rsidP="00194051">
          <w:pPr>
            <w:pStyle w:val="TOC1"/>
            <w:rPr>
              <w:rFonts w:eastAsia="Calibri"/>
              <w:snapToGrid w:val="0"/>
              <w:lang w:eastAsia="ja-JP"/>
            </w:rPr>
          </w:pPr>
          <w:r w:rsidRPr="00194051">
            <w:rPr>
              <w:rFonts w:eastAsia="Calibri"/>
              <w:snapToGrid w:val="0"/>
              <w:szCs w:val="20"/>
              <w:lang w:eastAsia="ja-JP"/>
            </w:rPr>
            <w:t>EXECUTIVE SUMMARY</w:t>
          </w:r>
          <w:r w:rsidRPr="00194051">
            <w:rPr>
              <w:rFonts w:eastAsia="Calibri"/>
              <w:snapToGrid w:val="0"/>
              <w:szCs w:val="20"/>
              <w:lang w:eastAsia="ja-JP"/>
            </w:rPr>
            <w:tab/>
            <w:t>ES-1</w:t>
          </w:r>
        </w:p>
        <w:p w14:paraId="487C0215" w14:textId="20CD7BBB" w:rsidR="00194051" w:rsidRDefault="003444B1">
          <w:pPr>
            <w:pStyle w:val="TOC1"/>
            <w:rPr>
              <w:rFonts w:asciiTheme="minorHAnsi" w:eastAsiaTheme="minorEastAsia" w:hAnsiTheme="minorHAnsi" w:cstheme="minorBidi"/>
              <w:bCs w:val="0"/>
              <w:caps w:val="0"/>
              <w:kern w:val="2"/>
              <w:sz w:val="22"/>
              <w:szCs w:val="22"/>
              <w14:ligatures w14:val="standardContextual"/>
            </w:rPr>
          </w:pPr>
          <w:r>
            <w:fldChar w:fldCharType="begin"/>
          </w:r>
          <w:r>
            <w:instrText xml:space="preserve"> TOC \o "1-3" \h \z \u </w:instrText>
          </w:r>
          <w:r>
            <w:fldChar w:fldCharType="separate"/>
          </w:r>
          <w:hyperlink w:anchor="_Toc159840212" w:history="1">
            <w:r w:rsidR="00194051" w:rsidRPr="002C5FA5">
              <w:rPr>
                <w:rStyle w:val="Hyperlink"/>
              </w:rPr>
              <w:t>I.</w:t>
            </w:r>
            <w:r w:rsidR="00194051">
              <w:rPr>
                <w:rFonts w:asciiTheme="minorHAnsi" w:eastAsiaTheme="minorEastAsia" w:hAnsiTheme="minorHAnsi" w:cstheme="minorBidi"/>
                <w:bCs w:val="0"/>
                <w:caps w:val="0"/>
                <w:kern w:val="2"/>
                <w:sz w:val="22"/>
                <w:szCs w:val="22"/>
                <w14:ligatures w14:val="standardContextual"/>
              </w:rPr>
              <w:tab/>
            </w:r>
            <w:r w:rsidR="00194051" w:rsidRPr="002C5FA5">
              <w:rPr>
                <w:rStyle w:val="Hyperlink"/>
              </w:rPr>
              <w:t>INTRODUCTION</w:t>
            </w:r>
            <w:r w:rsidR="00194051">
              <w:rPr>
                <w:webHidden/>
              </w:rPr>
              <w:tab/>
            </w:r>
            <w:r w:rsidR="00194051">
              <w:rPr>
                <w:webHidden/>
              </w:rPr>
              <w:fldChar w:fldCharType="begin"/>
            </w:r>
            <w:r w:rsidR="00194051">
              <w:rPr>
                <w:webHidden/>
              </w:rPr>
              <w:instrText xml:space="preserve"> PAGEREF _Toc159840212 \h </w:instrText>
            </w:r>
            <w:r w:rsidR="00194051">
              <w:rPr>
                <w:webHidden/>
              </w:rPr>
            </w:r>
            <w:r w:rsidR="00194051">
              <w:rPr>
                <w:webHidden/>
              </w:rPr>
              <w:fldChar w:fldCharType="separate"/>
            </w:r>
            <w:r w:rsidR="007F5A22">
              <w:rPr>
                <w:webHidden/>
              </w:rPr>
              <w:t>1</w:t>
            </w:r>
            <w:r w:rsidR="00194051">
              <w:rPr>
                <w:webHidden/>
              </w:rPr>
              <w:fldChar w:fldCharType="end"/>
            </w:r>
          </w:hyperlink>
        </w:p>
        <w:p w14:paraId="5868BEDD" w14:textId="2B3B8B4B" w:rsidR="00194051" w:rsidRDefault="00C72B1C">
          <w:pPr>
            <w:pStyle w:val="TOC1"/>
            <w:rPr>
              <w:rFonts w:asciiTheme="minorHAnsi" w:eastAsiaTheme="minorEastAsia" w:hAnsiTheme="minorHAnsi" w:cstheme="minorBidi"/>
              <w:bCs w:val="0"/>
              <w:caps w:val="0"/>
              <w:kern w:val="2"/>
              <w:sz w:val="22"/>
              <w:szCs w:val="22"/>
              <w14:ligatures w14:val="standardContextual"/>
            </w:rPr>
          </w:pPr>
          <w:hyperlink w:anchor="_Toc159840213" w:history="1">
            <w:r w:rsidR="00194051" w:rsidRPr="002C5FA5">
              <w:rPr>
                <w:rStyle w:val="Hyperlink"/>
              </w:rPr>
              <w:t>II.</w:t>
            </w:r>
            <w:r w:rsidR="00194051">
              <w:rPr>
                <w:rFonts w:asciiTheme="minorHAnsi" w:eastAsiaTheme="minorEastAsia" w:hAnsiTheme="minorHAnsi" w:cstheme="minorBidi"/>
                <w:bCs w:val="0"/>
                <w:caps w:val="0"/>
                <w:kern w:val="2"/>
                <w:sz w:val="22"/>
                <w:szCs w:val="22"/>
                <w14:ligatures w14:val="standardContextual"/>
              </w:rPr>
              <w:tab/>
            </w:r>
            <w:r w:rsidR="00194051" w:rsidRPr="002C5FA5">
              <w:rPr>
                <w:rStyle w:val="Hyperlink"/>
              </w:rPr>
              <w:t>OVERVIEW OF TESTIMONY</w:t>
            </w:r>
            <w:r w:rsidR="00194051">
              <w:rPr>
                <w:webHidden/>
              </w:rPr>
              <w:tab/>
            </w:r>
            <w:r w:rsidR="00194051">
              <w:rPr>
                <w:webHidden/>
              </w:rPr>
              <w:fldChar w:fldCharType="begin"/>
            </w:r>
            <w:r w:rsidR="00194051">
              <w:rPr>
                <w:webHidden/>
              </w:rPr>
              <w:instrText xml:space="preserve"> PAGEREF _Toc159840213 \h </w:instrText>
            </w:r>
            <w:r w:rsidR="00194051">
              <w:rPr>
                <w:webHidden/>
              </w:rPr>
            </w:r>
            <w:r w:rsidR="00194051">
              <w:rPr>
                <w:webHidden/>
              </w:rPr>
              <w:fldChar w:fldCharType="separate"/>
            </w:r>
            <w:r w:rsidR="007F5A22">
              <w:rPr>
                <w:webHidden/>
              </w:rPr>
              <w:t>4</w:t>
            </w:r>
            <w:r w:rsidR="00194051">
              <w:rPr>
                <w:webHidden/>
              </w:rPr>
              <w:fldChar w:fldCharType="end"/>
            </w:r>
          </w:hyperlink>
        </w:p>
        <w:p w14:paraId="456EF8F4" w14:textId="119E7DA5" w:rsidR="00194051" w:rsidRDefault="00C72B1C">
          <w:pPr>
            <w:pStyle w:val="TOC1"/>
            <w:rPr>
              <w:rFonts w:asciiTheme="minorHAnsi" w:eastAsiaTheme="minorEastAsia" w:hAnsiTheme="minorHAnsi" w:cstheme="minorBidi"/>
              <w:bCs w:val="0"/>
              <w:caps w:val="0"/>
              <w:kern w:val="2"/>
              <w:sz w:val="22"/>
              <w:szCs w:val="22"/>
              <w14:ligatures w14:val="standardContextual"/>
            </w:rPr>
          </w:pPr>
          <w:hyperlink w:anchor="_Toc159840214" w:history="1">
            <w:r w:rsidR="00194051" w:rsidRPr="002C5FA5">
              <w:rPr>
                <w:rStyle w:val="Hyperlink"/>
              </w:rPr>
              <w:t>III.</w:t>
            </w:r>
            <w:r w:rsidR="00194051">
              <w:rPr>
                <w:rFonts w:asciiTheme="minorHAnsi" w:eastAsiaTheme="minorEastAsia" w:hAnsiTheme="minorHAnsi" w:cstheme="minorBidi"/>
                <w:bCs w:val="0"/>
                <w:caps w:val="0"/>
                <w:kern w:val="2"/>
                <w:sz w:val="22"/>
                <w:szCs w:val="22"/>
                <w14:ligatures w14:val="standardContextual"/>
              </w:rPr>
              <w:tab/>
            </w:r>
            <w:r w:rsidR="00194051" w:rsidRPr="002C5FA5">
              <w:rPr>
                <w:rStyle w:val="Hyperlink"/>
              </w:rPr>
              <w:t>GROWING IN THE PATH OF STORMS</w:t>
            </w:r>
            <w:r w:rsidR="00194051">
              <w:rPr>
                <w:webHidden/>
              </w:rPr>
              <w:tab/>
            </w:r>
            <w:r w:rsidR="00194051">
              <w:rPr>
                <w:webHidden/>
              </w:rPr>
              <w:fldChar w:fldCharType="begin"/>
            </w:r>
            <w:r w:rsidR="00194051">
              <w:rPr>
                <w:webHidden/>
              </w:rPr>
              <w:instrText xml:space="preserve"> PAGEREF _Toc159840214 \h </w:instrText>
            </w:r>
            <w:r w:rsidR="00194051">
              <w:rPr>
                <w:webHidden/>
              </w:rPr>
            </w:r>
            <w:r w:rsidR="00194051">
              <w:rPr>
                <w:webHidden/>
              </w:rPr>
              <w:fldChar w:fldCharType="separate"/>
            </w:r>
            <w:r w:rsidR="007F5A22">
              <w:rPr>
                <w:webHidden/>
              </w:rPr>
              <w:t>5</w:t>
            </w:r>
            <w:r w:rsidR="00194051">
              <w:rPr>
                <w:webHidden/>
              </w:rPr>
              <w:fldChar w:fldCharType="end"/>
            </w:r>
          </w:hyperlink>
        </w:p>
        <w:p w14:paraId="4D518C38" w14:textId="4731B5FA" w:rsidR="00194051" w:rsidRDefault="00C72B1C" w:rsidP="00194051">
          <w:pPr>
            <w:pStyle w:val="TOC1"/>
            <w:ind w:left="720" w:hanging="720"/>
            <w:rPr>
              <w:rFonts w:asciiTheme="minorHAnsi" w:eastAsiaTheme="minorEastAsia" w:hAnsiTheme="minorHAnsi" w:cstheme="minorBidi"/>
              <w:bCs w:val="0"/>
              <w:caps w:val="0"/>
              <w:kern w:val="2"/>
              <w:sz w:val="22"/>
              <w:szCs w:val="22"/>
              <w14:ligatures w14:val="standardContextual"/>
            </w:rPr>
          </w:pPr>
          <w:hyperlink w:anchor="_Toc159840215" w:history="1">
            <w:r w:rsidR="00194051" w:rsidRPr="002C5FA5">
              <w:rPr>
                <w:rStyle w:val="Hyperlink"/>
              </w:rPr>
              <w:t>IV.</w:t>
            </w:r>
            <w:r w:rsidR="00194051">
              <w:rPr>
                <w:rFonts w:asciiTheme="minorHAnsi" w:eastAsiaTheme="minorEastAsia" w:hAnsiTheme="minorHAnsi" w:cstheme="minorBidi"/>
                <w:bCs w:val="0"/>
                <w:caps w:val="0"/>
                <w:kern w:val="2"/>
                <w:sz w:val="22"/>
                <w:szCs w:val="22"/>
                <w14:ligatures w14:val="standardContextual"/>
              </w:rPr>
              <w:tab/>
            </w:r>
            <w:r w:rsidR="00194051" w:rsidRPr="002C5FA5">
              <w:rPr>
                <w:rStyle w:val="Hyperlink"/>
              </w:rPr>
              <w:t>THE IMPORTANCE OF REFLECTING THE COMPANY’S ACTUAL CAPITAL STRUCTURE IN RATES</w:t>
            </w:r>
            <w:r w:rsidR="00194051">
              <w:rPr>
                <w:webHidden/>
              </w:rPr>
              <w:tab/>
            </w:r>
            <w:r w:rsidR="00194051">
              <w:rPr>
                <w:webHidden/>
              </w:rPr>
              <w:fldChar w:fldCharType="begin"/>
            </w:r>
            <w:r w:rsidR="00194051">
              <w:rPr>
                <w:webHidden/>
              </w:rPr>
              <w:instrText xml:space="preserve"> PAGEREF _Toc159840215 \h </w:instrText>
            </w:r>
            <w:r w:rsidR="00194051">
              <w:rPr>
                <w:webHidden/>
              </w:rPr>
            </w:r>
            <w:r w:rsidR="00194051">
              <w:rPr>
                <w:webHidden/>
              </w:rPr>
              <w:fldChar w:fldCharType="separate"/>
            </w:r>
            <w:r w:rsidR="007F5A22">
              <w:rPr>
                <w:webHidden/>
              </w:rPr>
              <w:t>18</w:t>
            </w:r>
            <w:r w:rsidR="00194051">
              <w:rPr>
                <w:webHidden/>
              </w:rPr>
              <w:fldChar w:fldCharType="end"/>
            </w:r>
          </w:hyperlink>
        </w:p>
        <w:p w14:paraId="4C7D298B" w14:textId="739A4E1C" w:rsidR="00194051" w:rsidRDefault="00C72B1C">
          <w:pPr>
            <w:pStyle w:val="TOC1"/>
            <w:rPr>
              <w:rFonts w:asciiTheme="minorHAnsi" w:eastAsiaTheme="minorEastAsia" w:hAnsiTheme="minorHAnsi" w:cstheme="minorBidi"/>
              <w:bCs w:val="0"/>
              <w:caps w:val="0"/>
              <w:kern w:val="2"/>
              <w:sz w:val="22"/>
              <w:szCs w:val="22"/>
              <w14:ligatures w14:val="standardContextual"/>
            </w:rPr>
          </w:pPr>
          <w:hyperlink w:anchor="_Toc159840216" w:history="1">
            <w:r w:rsidR="00194051" w:rsidRPr="002C5FA5">
              <w:rPr>
                <w:rStyle w:val="Hyperlink"/>
                <w:snapToGrid w:val="0"/>
              </w:rPr>
              <w:t>V.</w:t>
            </w:r>
            <w:r w:rsidR="00194051">
              <w:rPr>
                <w:rFonts w:asciiTheme="minorHAnsi" w:eastAsiaTheme="minorEastAsia" w:hAnsiTheme="minorHAnsi" w:cstheme="minorBidi"/>
                <w:bCs w:val="0"/>
                <w:caps w:val="0"/>
                <w:kern w:val="2"/>
                <w:sz w:val="22"/>
                <w:szCs w:val="22"/>
                <w14:ligatures w14:val="standardContextual"/>
              </w:rPr>
              <w:tab/>
            </w:r>
            <w:r w:rsidR="00194051" w:rsidRPr="002C5FA5">
              <w:rPr>
                <w:rStyle w:val="Hyperlink"/>
                <w:snapToGrid w:val="0"/>
              </w:rPr>
              <w:t>AFFORDABILITY OF CENTERPOINT HOUSTON’S RATES</w:t>
            </w:r>
            <w:r w:rsidR="00194051">
              <w:rPr>
                <w:webHidden/>
              </w:rPr>
              <w:tab/>
            </w:r>
            <w:r w:rsidR="00194051">
              <w:rPr>
                <w:webHidden/>
              </w:rPr>
              <w:fldChar w:fldCharType="begin"/>
            </w:r>
            <w:r w:rsidR="00194051">
              <w:rPr>
                <w:webHidden/>
              </w:rPr>
              <w:instrText xml:space="preserve"> PAGEREF _Toc159840216 \h </w:instrText>
            </w:r>
            <w:r w:rsidR="00194051">
              <w:rPr>
                <w:webHidden/>
              </w:rPr>
            </w:r>
            <w:r w:rsidR="00194051">
              <w:rPr>
                <w:webHidden/>
              </w:rPr>
              <w:fldChar w:fldCharType="separate"/>
            </w:r>
            <w:r w:rsidR="007F5A22">
              <w:rPr>
                <w:webHidden/>
              </w:rPr>
              <w:t>36</w:t>
            </w:r>
            <w:r w:rsidR="00194051">
              <w:rPr>
                <w:webHidden/>
              </w:rPr>
              <w:fldChar w:fldCharType="end"/>
            </w:r>
          </w:hyperlink>
        </w:p>
        <w:p w14:paraId="45CF25E7" w14:textId="78AF943B" w:rsidR="003444B1" w:rsidRDefault="003444B1">
          <w:r>
            <w:rPr>
              <w:b/>
              <w:bCs/>
              <w:noProof/>
            </w:rPr>
            <w:fldChar w:fldCharType="end"/>
          </w:r>
        </w:p>
      </w:sdtContent>
    </w:sdt>
    <w:p w14:paraId="1A4CE274" w14:textId="77777777" w:rsidR="00956A9D" w:rsidRDefault="00956A9D" w:rsidP="007600B9"/>
    <w:p w14:paraId="35CDB967" w14:textId="444BDC4A" w:rsidR="00956A9D" w:rsidRPr="005C0A48" w:rsidRDefault="00861682" w:rsidP="003444B1">
      <w:pPr>
        <w:pStyle w:val="PCROutline1"/>
        <w:widowControl w:val="0"/>
        <w:tabs>
          <w:tab w:val="clear" w:pos="3870"/>
        </w:tabs>
        <w:ind w:left="0" w:firstLine="0"/>
        <w:outlineLvl w:val="9"/>
        <w:rPr>
          <w:b w:val="0"/>
          <w:bCs/>
        </w:rPr>
      </w:pPr>
      <w:r>
        <w:rPr>
          <w:u w:val="single"/>
        </w:rPr>
        <w:t>LIST OF EXHIBITS</w:t>
      </w:r>
    </w:p>
    <w:p w14:paraId="34913504" w14:textId="49263F3A" w:rsidR="001E1406" w:rsidRDefault="003B5F64" w:rsidP="00872BBE">
      <w:pPr>
        <w:ind w:left="2880" w:right="720" w:hanging="2160"/>
        <w:jc w:val="left"/>
      </w:pPr>
      <w:r w:rsidRPr="00872BBE">
        <w:t>Exhibit JMR-1</w:t>
      </w:r>
      <w:r w:rsidR="001E1406">
        <w:tab/>
      </w:r>
      <w:r w:rsidR="00124775">
        <w:t>Excerpts from CenterPoint Energy Houston Electric, LLC’s previous rate case application</w:t>
      </w:r>
      <w:r w:rsidR="00A644FE">
        <w:t xml:space="preserve"> in</w:t>
      </w:r>
      <w:r w:rsidR="00124775">
        <w:t xml:space="preserve"> Docket No. 49421</w:t>
      </w:r>
    </w:p>
    <w:p w14:paraId="7AC90A3D" w14:textId="77777777" w:rsidR="00571B3C" w:rsidRDefault="00571B3C">
      <w:pPr>
        <w:ind w:left="720" w:right="720"/>
        <w:jc w:val="left"/>
      </w:pPr>
    </w:p>
    <w:p w14:paraId="2F7B2272" w14:textId="14FDC181" w:rsidR="001E1406" w:rsidRDefault="001E1406">
      <w:pPr>
        <w:ind w:left="720" w:right="720"/>
        <w:jc w:val="left"/>
      </w:pPr>
      <w:r>
        <w:t>Exhibit JMR-2</w:t>
      </w:r>
      <w:r w:rsidR="00724A7D">
        <w:tab/>
      </w:r>
      <w:r w:rsidR="00724A7D">
        <w:tab/>
      </w:r>
      <w:r w:rsidR="003350BE">
        <w:t>Excerpts from Commission Order</w:t>
      </w:r>
      <w:r w:rsidR="00A644FE">
        <w:t xml:space="preserve"> in</w:t>
      </w:r>
      <w:r w:rsidR="003350BE">
        <w:t xml:space="preserve"> </w:t>
      </w:r>
      <w:r w:rsidR="003350BE" w:rsidRPr="003350BE">
        <w:t>Docket No. 49421</w:t>
      </w:r>
    </w:p>
    <w:p w14:paraId="073B3610" w14:textId="77777777" w:rsidR="00571B3C" w:rsidRDefault="00571B3C">
      <w:pPr>
        <w:ind w:left="720" w:right="720"/>
        <w:jc w:val="left"/>
      </w:pPr>
    </w:p>
    <w:p w14:paraId="764E8D64" w14:textId="7A42749D" w:rsidR="001E1406" w:rsidRDefault="001E1406" w:rsidP="5A12E001">
      <w:pPr>
        <w:ind w:left="2880" w:right="720" w:hanging="2160"/>
        <w:jc w:val="left"/>
      </w:pPr>
      <w:r>
        <w:t>Exhibit JMR-3</w:t>
      </w:r>
      <w:r w:rsidR="003350BE">
        <w:tab/>
      </w:r>
      <w:r w:rsidR="00F54891">
        <w:t xml:space="preserve">Excerpts from Commission </w:t>
      </w:r>
      <w:r w:rsidR="00F54891" w:rsidRPr="00F54891">
        <w:t>Order No. 42</w:t>
      </w:r>
      <w:r w:rsidR="00A644FE">
        <w:t xml:space="preserve"> in</w:t>
      </w:r>
      <w:r w:rsidR="00F54891" w:rsidRPr="00F54891">
        <w:t xml:space="preserve"> Docket No.</w:t>
      </w:r>
      <w:r w:rsidR="006A45F9">
        <w:t> </w:t>
      </w:r>
      <w:r w:rsidR="00F54891" w:rsidRPr="00F54891">
        <w:t>22344</w:t>
      </w:r>
    </w:p>
    <w:p w14:paraId="1706F812" w14:textId="77777777" w:rsidR="00571B3C" w:rsidRDefault="00571B3C">
      <w:pPr>
        <w:ind w:left="720" w:right="720"/>
        <w:jc w:val="left"/>
      </w:pPr>
    </w:p>
    <w:p w14:paraId="6A7E8482" w14:textId="776E9D54" w:rsidR="001E1406" w:rsidRDefault="001E1406" w:rsidP="5A12E001">
      <w:pPr>
        <w:ind w:left="2880" w:right="720" w:hanging="2160"/>
        <w:jc w:val="left"/>
      </w:pPr>
      <w:r>
        <w:t>Exhibit JMR-4</w:t>
      </w:r>
      <w:r w:rsidR="00C04C0D">
        <w:tab/>
      </w:r>
      <w:r w:rsidR="00A644FE">
        <w:t>Excerpts from Commission Orders in Docket Nos.</w:t>
      </w:r>
      <w:r w:rsidR="00A644FE" w:rsidRPr="00A644FE">
        <w:t xml:space="preserve"> 8425 &amp; 8431</w:t>
      </w:r>
    </w:p>
    <w:p w14:paraId="5ABE434E" w14:textId="77777777" w:rsidR="00571B3C" w:rsidRDefault="00571B3C">
      <w:pPr>
        <w:ind w:left="720" w:right="720"/>
        <w:jc w:val="left"/>
      </w:pPr>
    </w:p>
    <w:p w14:paraId="453696AF" w14:textId="34953D9D" w:rsidR="001E1406" w:rsidRDefault="001E1406">
      <w:pPr>
        <w:ind w:left="720" w:right="720"/>
        <w:jc w:val="left"/>
      </w:pPr>
      <w:r>
        <w:t>Exhibit JMR-5</w:t>
      </w:r>
      <w:r w:rsidR="00513109">
        <w:tab/>
      </w:r>
      <w:r w:rsidR="00513109">
        <w:tab/>
      </w:r>
      <w:r w:rsidR="00125784">
        <w:t>Excerpts from</w:t>
      </w:r>
      <w:r w:rsidR="00125784" w:rsidDel="00A644FE">
        <w:t xml:space="preserve"> </w:t>
      </w:r>
      <w:r w:rsidR="00125784">
        <w:t>Commission Order</w:t>
      </w:r>
      <w:r w:rsidR="00A644FE">
        <w:t xml:space="preserve"> in</w:t>
      </w:r>
      <w:r w:rsidR="00125784">
        <w:t xml:space="preserve"> </w:t>
      </w:r>
      <w:r w:rsidR="00125784" w:rsidRPr="00125784">
        <w:t>Docket No. 9850</w:t>
      </w:r>
    </w:p>
    <w:p w14:paraId="405002B1" w14:textId="77777777" w:rsidR="00571B3C" w:rsidRDefault="00571B3C" w:rsidP="00D91E59">
      <w:pPr>
        <w:ind w:left="2880" w:right="720" w:hanging="2160"/>
        <w:jc w:val="left"/>
      </w:pPr>
    </w:p>
    <w:p w14:paraId="50CED67F" w14:textId="3B81A23B" w:rsidR="00BD085F" w:rsidRDefault="001E1406" w:rsidP="0021755F">
      <w:pPr>
        <w:ind w:left="2880" w:right="720" w:hanging="2160"/>
        <w:jc w:val="left"/>
      </w:pPr>
      <w:r>
        <w:t>Exhibit JMR-6</w:t>
      </w:r>
      <w:r>
        <w:tab/>
      </w:r>
      <w:r w:rsidR="00D91E59">
        <w:t xml:space="preserve">Excerpts from </w:t>
      </w:r>
      <w:r w:rsidR="00ED6E1A">
        <w:t xml:space="preserve">Commission Order </w:t>
      </w:r>
      <w:r w:rsidR="00C971B0">
        <w:t>in</w:t>
      </w:r>
      <w:r w:rsidR="00D91E59" w:rsidRPr="00D91E59">
        <w:t xml:space="preserve"> Docket No. 38339</w:t>
      </w:r>
    </w:p>
    <w:p w14:paraId="583191F2" w14:textId="77777777" w:rsidR="00BD085F" w:rsidRDefault="00BD085F" w:rsidP="0021755F">
      <w:pPr>
        <w:ind w:left="2880" w:right="720" w:hanging="2160"/>
        <w:jc w:val="left"/>
      </w:pPr>
    </w:p>
    <w:p w14:paraId="66E9DC77" w14:textId="5CB8E3D6" w:rsidR="005C0A48" w:rsidRDefault="00BD085F" w:rsidP="007600B9">
      <w:pPr>
        <w:ind w:left="2880" w:right="720" w:hanging="2160"/>
        <w:jc w:val="left"/>
      </w:pPr>
      <w:r>
        <w:t xml:space="preserve">Exhibit JMR-7 </w:t>
      </w:r>
      <w:r>
        <w:tab/>
        <w:t xml:space="preserve">Excerpts from </w:t>
      </w:r>
      <w:r w:rsidR="00B6311E" w:rsidRPr="00B6311E">
        <w:t>Amended P</w:t>
      </w:r>
      <w:r w:rsidR="00B6311E">
        <w:t xml:space="preserve">roposal for </w:t>
      </w:r>
      <w:r w:rsidR="00B6311E" w:rsidRPr="00B6311E">
        <w:t>D</w:t>
      </w:r>
      <w:r w:rsidR="00B6311E">
        <w:t>ecision</w:t>
      </w:r>
      <w:r w:rsidR="00B6311E" w:rsidRPr="00B6311E">
        <w:t xml:space="preserve"> and </w:t>
      </w:r>
      <w:r w:rsidR="005323BB">
        <w:t>Railroad Commission of Texas</w:t>
      </w:r>
      <w:r w:rsidR="00B6311E">
        <w:t xml:space="preserve"> Order</w:t>
      </w:r>
      <w:r w:rsidR="005323BB">
        <w:t xml:space="preserve">, </w:t>
      </w:r>
      <w:r w:rsidR="00B6311E" w:rsidRPr="00B6311E">
        <w:t>OS-22-</w:t>
      </w:r>
      <w:r w:rsidR="00B6311E">
        <w:t>00009896</w:t>
      </w:r>
      <w:r w:rsidR="001E1406">
        <w:tab/>
      </w:r>
    </w:p>
    <w:p w14:paraId="290502FF" w14:textId="77777777" w:rsidR="003B5F64" w:rsidRPr="007600B9" w:rsidRDefault="003B5F64">
      <w:pPr>
        <w:ind w:left="720" w:right="720"/>
        <w:jc w:val="left"/>
      </w:pPr>
    </w:p>
    <w:p w14:paraId="15EC8C9B" w14:textId="77777777" w:rsidR="00194051" w:rsidRDefault="00194051">
      <w:pPr>
        <w:ind w:left="720" w:right="720"/>
        <w:jc w:val="left"/>
        <w:rPr>
          <w:u w:val="single"/>
        </w:rPr>
        <w:sectPr w:rsidR="00194051" w:rsidSect="00660A5A">
          <w:pgSz w:w="12240" w:h="15840"/>
          <w:pgMar w:top="1440" w:right="1440" w:bottom="1440" w:left="1440" w:header="720" w:footer="720" w:gutter="0"/>
          <w:cols w:space="720"/>
        </w:sectPr>
      </w:pPr>
    </w:p>
    <w:p w14:paraId="19FAFFCB" w14:textId="70CBBCE4" w:rsidR="00CB01B6" w:rsidRPr="00194051" w:rsidRDefault="00CB01B6">
      <w:pPr>
        <w:ind w:left="720" w:right="720"/>
        <w:jc w:val="left"/>
        <w:rPr>
          <w:u w:val="single"/>
        </w:rPr>
      </w:pPr>
    </w:p>
    <w:p w14:paraId="75C633A4" w14:textId="77777777" w:rsidR="00A76675" w:rsidRPr="00194051" w:rsidRDefault="00A76675" w:rsidP="00A76675">
      <w:pPr>
        <w:suppressLineNumbers/>
        <w:jc w:val="center"/>
        <w:rPr>
          <w:b/>
          <w:u w:val="single"/>
        </w:rPr>
      </w:pPr>
      <w:r w:rsidRPr="00194051">
        <w:rPr>
          <w:b/>
          <w:u w:val="single"/>
        </w:rPr>
        <w:t>GLOSSARY OF ACRONYMS AND DEFINED TERMS</w:t>
      </w:r>
    </w:p>
    <w:p w14:paraId="1B4701B1" w14:textId="77777777" w:rsidR="00734829" w:rsidRDefault="00734829" w:rsidP="00A76675">
      <w:pPr>
        <w:suppressLineNumbers/>
        <w:jc w:val="center"/>
      </w:pPr>
    </w:p>
    <w:tbl>
      <w:tblPr>
        <w:tblW w:w="8010" w:type="dxa"/>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5580"/>
      </w:tblGrid>
      <w:tr w:rsidR="0038376C" w:rsidRPr="006E7E85" w14:paraId="087A8358" w14:textId="77777777" w:rsidTr="0004390A">
        <w:trPr>
          <w:trHeight w:val="300"/>
          <w:jc w:val="right"/>
        </w:trPr>
        <w:tc>
          <w:tcPr>
            <w:tcW w:w="2430" w:type="dxa"/>
            <w:tcBorders>
              <w:top w:val="nil"/>
              <w:left w:val="nil"/>
              <w:bottom w:val="nil"/>
              <w:right w:val="nil"/>
            </w:tcBorders>
            <w:shd w:val="clear" w:color="auto" w:fill="auto"/>
            <w:hideMark/>
          </w:tcPr>
          <w:p w14:paraId="5ACB3830" w14:textId="66B57BB9" w:rsidR="0038376C" w:rsidRPr="00583E52" w:rsidRDefault="0038376C" w:rsidP="00DF3CCA">
            <w:pPr>
              <w:jc w:val="center"/>
              <w:textAlignment w:val="baseline"/>
              <w:rPr>
                <w:rFonts w:eastAsia="Times New Roman"/>
                <w:u w:val="single"/>
              </w:rPr>
            </w:pPr>
            <w:r w:rsidRPr="00583E52">
              <w:rPr>
                <w:rFonts w:eastAsia="Times New Roman"/>
                <w:b/>
                <w:bCs/>
                <w:u w:val="single"/>
              </w:rPr>
              <w:t>Acronym</w:t>
            </w:r>
          </w:p>
        </w:tc>
        <w:tc>
          <w:tcPr>
            <w:tcW w:w="5580" w:type="dxa"/>
            <w:tcBorders>
              <w:top w:val="nil"/>
              <w:left w:val="nil"/>
              <w:bottom w:val="nil"/>
              <w:right w:val="nil"/>
            </w:tcBorders>
            <w:shd w:val="clear" w:color="auto" w:fill="auto"/>
            <w:hideMark/>
          </w:tcPr>
          <w:p w14:paraId="3398E833" w14:textId="77777777" w:rsidR="0038376C" w:rsidRPr="00583E52" w:rsidRDefault="0038376C" w:rsidP="00583E52">
            <w:pPr>
              <w:spacing w:line="480" w:lineRule="auto"/>
              <w:jc w:val="center"/>
              <w:textAlignment w:val="baseline"/>
              <w:rPr>
                <w:rFonts w:eastAsia="Times New Roman"/>
                <w:b/>
                <w:bCs/>
                <w:u w:val="single"/>
              </w:rPr>
            </w:pPr>
            <w:r w:rsidRPr="00583E52">
              <w:rPr>
                <w:rFonts w:eastAsia="Times New Roman"/>
                <w:b/>
                <w:bCs/>
                <w:u w:val="single"/>
              </w:rPr>
              <w:t>Definition</w:t>
            </w:r>
          </w:p>
          <w:p w14:paraId="41377B1B" w14:textId="1B8E0D17" w:rsidR="00DF3CCA" w:rsidRPr="00583E52" w:rsidRDefault="00DF3CCA" w:rsidP="00DF3CCA">
            <w:pPr>
              <w:jc w:val="center"/>
              <w:textAlignment w:val="baseline"/>
              <w:rPr>
                <w:rFonts w:eastAsia="Times New Roman"/>
                <w:u w:val="single"/>
              </w:rPr>
            </w:pPr>
          </w:p>
        </w:tc>
      </w:tr>
      <w:tr w:rsidR="00AC10BE" w:rsidRPr="00AC10BE" w14:paraId="48075508" w14:textId="77777777" w:rsidTr="00D07B44">
        <w:trPr>
          <w:trHeight w:val="300"/>
          <w:jc w:val="right"/>
        </w:trPr>
        <w:tc>
          <w:tcPr>
            <w:tcW w:w="2430" w:type="dxa"/>
            <w:tcBorders>
              <w:top w:val="nil"/>
              <w:left w:val="nil"/>
              <w:bottom w:val="nil"/>
              <w:right w:val="nil"/>
            </w:tcBorders>
            <w:shd w:val="clear" w:color="auto" w:fill="auto"/>
          </w:tcPr>
          <w:p w14:paraId="5D14C223" w14:textId="573B1517" w:rsidR="00AC10BE" w:rsidRPr="00DF3CCA" w:rsidRDefault="00AC10BE" w:rsidP="00DF3CCA">
            <w:pPr>
              <w:jc w:val="left"/>
              <w:textAlignment w:val="baseline"/>
              <w:rPr>
                <w:rFonts w:eastAsia="Times New Roman"/>
                <w:bCs/>
                <w:u w:val="single"/>
              </w:rPr>
            </w:pPr>
            <w:r w:rsidRPr="00DF3CCA">
              <w:rPr>
                <w:rFonts w:eastAsia="Calibri"/>
                <w:bCs/>
              </w:rPr>
              <w:t>ADER</w:t>
            </w:r>
          </w:p>
        </w:tc>
        <w:tc>
          <w:tcPr>
            <w:tcW w:w="5580" w:type="dxa"/>
            <w:tcBorders>
              <w:top w:val="nil"/>
              <w:left w:val="nil"/>
              <w:bottom w:val="nil"/>
              <w:right w:val="nil"/>
            </w:tcBorders>
            <w:shd w:val="clear" w:color="auto" w:fill="auto"/>
          </w:tcPr>
          <w:p w14:paraId="00689ACD" w14:textId="3BF7050D" w:rsidR="00AC10BE" w:rsidRPr="00DF3CCA" w:rsidRDefault="00AC10BE" w:rsidP="00DF3CCA">
            <w:pPr>
              <w:jc w:val="left"/>
              <w:textAlignment w:val="baseline"/>
              <w:rPr>
                <w:rFonts w:eastAsia="Times New Roman"/>
                <w:bCs/>
                <w:u w:val="single"/>
              </w:rPr>
            </w:pPr>
            <w:r w:rsidRPr="00DF3CCA">
              <w:rPr>
                <w:rFonts w:eastAsia="Calibri"/>
                <w:bCs/>
              </w:rPr>
              <w:t>Aggregated Distributed Energy Resources</w:t>
            </w:r>
          </w:p>
        </w:tc>
      </w:tr>
      <w:tr w:rsidR="0038376C" w:rsidRPr="006E7E85" w14:paraId="17A97402" w14:textId="77777777" w:rsidTr="00DF3CCA">
        <w:trPr>
          <w:trHeight w:val="300"/>
          <w:jc w:val="right"/>
        </w:trPr>
        <w:tc>
          <w:tcPr>
            <w:tcW w:w="2430" w:type="dxa"/>
            <w:tcBorders>
              <w:top w:val="nil"/>
              <w:left w:val="nil"/>
              <w:bottom w:val="nil"/>
              <w:right w:val="nil"/>
            </w:tcBorders>
            <w:shd w:val="clear" w:color="auto" w:fill="auto"/>
            <w:hideMark/>
          </w:tcPr>
          <w:p w14:paraId="5F0D73D9" w14:textId="7C1CA555" w:rsidR="0038376C" w:rsidRPr="00DF3CCA" w:rsidRDefault="006E7E85" w:rsidP="000D3793">
            <w:pPr>
              <w:jc w:val="left"/>
              <w:textAlignment w:val="baseline"/>
              <w:rPr>
                <w:rFonts w:eastAsia="Times New Roman"/>
              </w:rPr>
            </w:pPr>
            <w:r w:rsidRPr="006E7E85">
              <w:rPr>
                <w:rFonts w:eastAsia="Times New Roman"/>
              </w:rPr>
              <w:t>ALJ</w:t>
            </w:r>
          </w:p>
        </w:tc>
        <w:tc>
          <w:tcPr>
            <w:tcW w:w="5580" w:type="dxa"/>
            <w:tcBorders>
              <w:top w:val="nil"/>
              <w:left w:val="nil"/>
              <w:bottom w:val="nil"/>
              <w:right w:val="nil"/>
            </w:tcBorders>
            <w:shd w:val="clear" w:color="auto" w:fill="auto"/>
            <w:hideMark/>
          </w:tcPr>
          <w:p w14:paraId="22224478" w14:textId="63F56CC9" w:rsidR="0038376C" w:rsidRPr="00DF3CCA" w:rsidRDefault="006E7E85" w:rsidP="000D3793">
            <w:pPr>
              <w:jc w:val="left"/>
              <w:textAlignment w:val="baseline"/>
              <w:rPr>
                <w:rFonts w:eastAsia="Times New Roman"/>
              </w:rPr>
            </w:pPr>
            <w:r w:rsidRPr="00DF3CCA">
              <w:rPr>
                <w:rFonts w:eastAsia="Times New Roman"/>
              </w:rPr>
              <w:t>Administrative Law Judge</w:t>
            </w:r>
          </w:p>
        </w:tc>
      </w:tr>
      <w:tr w:rsidR="0038376C" w:rsidRPr="006E7E85" w14:paraId="0B1708C8" w14:textId="77777777" w:rsidTr="00DF3CCA">
        <w:trPr>
          <w:trHeight w:val="300"/>
          <w:jc w:val="right"/>
        </w:trPr>
        <w:tc>
          <w:tcPr>
            <w:tcW w:w="2430" w:type="dxa"/>
            <w:tcBorders>
              <w:top w:val="nil"/>
              <w:left w:val="nil"/>
              <w:bottom w:val="nil"/>
              <w:right w:val="nil"/>
            </w:tcBorders>
            <w:shd w:val="clear" w:color="auto" w:fill="auto"/>
            <w:hideMark/>
          </w:tcPr>
          <w:p w14:paraId="5AD41DFB" w14:textId="71FFA40A" w:rsidR="0038376C" w:rsidRPr="00DF3CCA" w:rsidRDefault="0038376C" w:rsidP="000D3793">
            <w:pPr>
              <w:jc w:val="left"/>
              <w:textAlignment w:val="baseline"/>
              <w:rPr>
                <w:rFonts w:eastAsia="Times New Roman"/>
              </w:rPr>
            </w:pPr>
            <w:r w:rsidRPr="006E7E85">
              <w:rPr>
                <w:rFonts w:eastAsia="Times New Roman"/>
              </w:rPr>
              <w:t>CenterPoint Houston or Company</w:t>
            </w:r>
          </w:p>
        </w:tc>
        <w:tc>
          <w:tcPr>
            <w:tcW w:w="5580" w:type="dxa"/>
            <w:tcBorders>
              <w:top w:val="nil"/>
              <w:left w:val="nil"/>
              <w:bottom w:val="nil"/>
              <w:right w:val="nil"/>
            </w:tcBorders>
            <w:shd w:val="clear" w:color="auto" w:fill="auto"/>
            <w:hideMark/>
          </w:tcPr>
          <w:p w14:paraId="168F1B4D" w14:textId="1D9BEE14" w:rsidR="0038376C" w:rsidRPr="00DF3CCA" w:rsidRDefault="0038376C" w:rsidP="000D3793">
            <w:pPr>
              <w:jc w:val="left"/>
              <w:textAlignment w:val="baseline"/>
              <w:rPr>
                <w:rFonts w:eastAsia="Times New Roman"/>
              </w:rPr>
            </w:pPr>
            <w:r w:rsidRPr="006E7E85">
              <w:rPr>
                <w:rFonts w:eastAsia="Times New Roman"/>
              </w:rPr>
              <w:t>CenterPoint Energy Houston Electric, LLC</w:t>
            </w:r>
          </w:p>
        </w:tc>
      </w:tr>
      <w:tr w:rsidR="00993AD4" w:rsidRPr="006E7E85" w14:paraId="525B65FC" w14:textId="77777777" w:rsidTr="00DF3CCA">
        <w:trPr>
          <w:trHeight w:val="300"/>
          <w:jc w:val="right"/>
        </w:trPr>
        <w:tc>
          <w:tcPr>
            <w:tcW w:w="2430" w:type="dxa"/>
            <w:tcBorders>
              <w:top w:val="nil"/>
              <w:left w:val="nil"/>
              <w:bottom w:val="nil"/>
              <w:right w:val="nil"/>
            </w:tcBorders>
            <w:shd w:val="clear" w:color="auto" w:fill="auto"/>
          </w:tcPr>
          <w:p w14:paraId="6F39E40D" w14:textId="55C19564" w:rsidR="00993AD4" w:rsidRPr="006E7E85" w:rsidRDefault="00993AD4" w:rsidP="000D3793">
            <w:pPr>
              <w:jc w:val="left"/>
              <w:textAlignment w:val="baseline"/>
              <w:rPr>
                <w:rFonts w:eastAsia="Times New Roman"/>
              </w:rPr>
            </w:pPr>
            <w:r w:rsidRPr="006E7E85">
              <w:rPr>
                <w:rFonts w:eastAsia="Times New Roman"/>
              </w:rPr>
              <w:t>CNP</w:t>
            </w:r>
          </w:p>
        </w:tc>
        <w:tc>
          <w:tcPr>
            <w:tcW w:w="5580" w:type="dxa"/>
            <w:tcBorders>
              <w:top w:val="nil"/>
              <w:left w:val="nil"/>
              <w:bottom w:val="nil"/>
              <w:right w:val="nil"/>
            </w:tcBorders>
            <w:shd w:val="clear" w:color="auto" w:fill="auto"/>
          </w:tcPr>
          <w:p w14:paraId="1AEEB326" w14:textId="51991C71" w:rsidR="00993AD4" w:rsidRPr="006E7E85" w:rsidRDefault="006365DF" w:rsidP="000D3793">
            <w:pPr>
              <w:jc w:val="left"/>
              <w:textAlignment w:val="baseline"/>
              <w:rPr>
                <w:rFonts w:eastAsia="Times New Roman"/>
              </w:rPr>
            </w:pPr>
            <w:r w:rsidRPr="006E7E85">
              <w:rPr>
                <w:rFonts w:eastAsia="Times New Roman"/>
              </w:rPr>
              <w:t>CenterPoint Energy, Inc.</w:t>
            </w:r>
          </w:p>
        </w:tc>
      </w:tr>
      <w:tr w:rsidR="0038376C" w:rsidRPr="006E7E85" w14:paraId="1487F7EA" w14:textId="77777777" w:rsidTr="00DF3CCA">
        <w:trPr>
          <w:trHeight w:val="300"/>
          <w:jc w:val="right"/>
        </w:trPr>
        <w:tc>
          <w:tcPr>
            <w:tcW w:w="2430" w:type="dxa"/>
            <w:tcBorders>
              <w:top w:val="nil"/>
              <w:left w:val="nil"/>
              <w:bottom w:val="nil"/>
              <w:right w:val="nil"/>
            </w:tcBorders>
            <w:shd w:val="clear" w:color="auto" w:fill="auto"/>
            <w:hideMark/>
          </w:tcPr>
          <w:p w14:paraId="0DB88FCA" w14:textId="35BA3E11" w:rsidR="0038376C" w:rsidRPr="00DF3CCA" w:rsidRDefault="0038376C" w:rsidP="000D3793">
            <w:pPr>
              <w:jc w:val="left"/>
              <w:textAlignment w:val="baseline"/>
              <w:rPr>
                <w:rFonts w:eastAsia="Times New Roman"/>
              </w:rPr>
            </w:pPr>
            <w:r w:rsidRPr="006E7E85">
              <w:rPr>
                <w:rFonts w:eastAsia="Times New Roman"/>
              </w:rPr>
              <w:t>Commission </w:t>
            </w:r>
            <w:r w:rsidR="004E66BA" w:rsidRPr="006E7E85">
              <w:rPr>
                <w:rFonts w:eastAsia="Times New Roman"/>
              </w:rPr>
              <w:t>or PUC</w:t>
            </w:r>
          </w:p>
        </w:tc>
        <w:tc>
          <w:tcPr>
            <w:tcW w:w="5580" w:type="dxa"/>
            <w:tcBorders>
              <w:top w:val="nil"/>
              <w:left w:val="nil"/>
              <w:bottom w:val="nil"/>
              <w:right w:val="nil"/>
            </w:tcBorders>
            <w:shd w:val="clear" w:color="auto" w:fill="auto"/>
            <w:hideMark/>
          </w:tcPr>
          <w:p w14:paraId="7C70F585" w14:textId="020946DE" w:rsidR="0038376C" w:rsidRPr="00DF3CCA" w:rsidRDefault="0038376C" w:rsidP="000D3793">
            <w:pPr>
              <w:jc w:val="left"/>
              <w:textAlignment w:val="baseline"/>
              <w:rPr>
                <w:rFonts w:eastAsia="Times New Roman"/>
              </w:rPr>
            </w:pPr>
            <w:r w:rsidRPr="006E7E85">
              <w:rPr>
                <w:rFonts w:eastAsia="Times New Roman"/>
              </w:rPr>
              <w:t>Public Utility Commission of Texas</w:t>
            </w:r>
          </w:p>
        </w:tc>
      </w:tr>
      <w:tr w:rsidR="008F6AEC" w:rsidRPr="008F6AEC" w14:paraId="1BC40D93" w14:textId="77777777" w:rsidTr="00DF3CCA">
        <w:trPr>
          <w:trHeight w:val="300"/>
          <w:jc w:val="right"/>
        </w:trPr>
        <w:tc>
          <w:tcPr>
            <w:tcW w:w="2430" w:type="dxa"/>
            <w:tcBorders>
              <w:top w:val="nil"/>
              <w:left w:val="nil"/>
              <w:bottom w:val="nil"/>
              <w:right w:val="nil"/>
            </w:tcBorders>
            <w:shd w:val="clear" w:color="auto" w:fill="auto"/>
          </w:tcPr>
          <w:p w14:paraId="76FA20A9" w14:textId="42D8EF5E" w:rsidR="008F6AEC" w:rsidRPr="008F6AEC" w:rsidRDefault="008F6AEC" w:rsidP="000D3793">
            <w:pPr>
              <w:jc w:val="left"/>
              <w:textAlignment w:val="baseline"/>
              <w:rPr>
                <w:rFonts w:eastAsia="Times New Roman"/>
                <w:bCs/>
              </w:rPr>
            </w:pPr>
            <w:r w:rsidRPr="00DF3CCA">
              <w:rPr>
                <w:bCs/>
              </w:rPr>
              <w:t>DOE</w:t>
            </w:r>
          </w:p>
        </w:tc>
        <w:tc>
          <w:tcPr>
            <w:tcW w:w="5580" w:type="dxa"/>
            <w:tcBorders>
              <w:top w:val="nil"/>
              <w:left w:val="nil"/>
              <w:bottom w:val="nil"/>
              <w:right w:val="nil"/>
            </w:tcBorders>
            <w:shd w:val="clear" w:color="auto" w:fill="auto"/>
          </w:tcPr>
          <w:p w14:paraId="74C3EF66" w14:textId="2B763F7E" w:rsidR="008F6AEC" w:rsidRPr="008F6AEC" w:rsidRDefault="008F6AEC" w:rsidP="000D3793">
            <w:pPr>
              <w:jc w:val="left"/>
              <w:textAlignment w:val="baseline"/>
              <w:rPr>
                <w:rFonts w:eastAsia="Times New Roman"/>
                <w:bCs/>
              </w:rPr>
            </w:pPr>
            <w:r w:rsidRPr="00DF3CCA">
              <w:rPr>
                <w:bCs/>
              </w:rPr>
              <w:t xml:space="preserve">U.S. Department of Energy </w:t>
            </w:r>
          </w:p>
        </w:tc>
      </w:tr>
      <w:tr w:rsidR="0038376C" w:rsidRPr="006E7E85" w14:paraId="763D51CC" w14:textId="77777777" w:rsidTr="00DF3CCA">
        <w:trPr>
          <w:trHeight w:val="300"/>
          <w:jc w:val="right"/>
        </w:trPr>
        <w:tc>
          <w:tcPr>
            <w:tcW w:w="2430" w:type="dxa"/>
            <w:tcBorders>
              <w:top w:val="nil"/>
              <w:left w:val="nil"/>
              <w:bottom w:val="nil"/>
              <w:right w:val="nil"/>
            </w:tcBorders>
            <w:shd w:val="clear" w:color="auto" w:fill="auto"/>
            <w:hideMark/>
          </w:tcPr>
          <w:p w14:paraId="3F3E8494" w14:textId="38F05EB5" w:rsidR="0038376C" w:rsidRPr="00DF3CCA" w:rsidRDefault="0038376C" w:rsidP="000D3793">
            <w:pPr>
              <w:jc w:val="left"/>
              <w:textAlignment w:val="baseline"/>
              <w:rPr>
                <w:rFonts w:eastAsia="Times New Roman"/>
              </w:rPr>
            </w:pPr>
            <w:r w:rsidRPr="006E7E85">
              <w:rPr>
                <w:rFonts w:eastAsia="Times New Roman"/>
              </w:rPr>
              <w:t>ERCOT</w:t>
            </w:r>
          </w:p>
        </w:tc>
        <w:tc>
          <w:tcPr>
            <w:tcW w:w="5580" w:type="dxa"/>
            <w:tcBorders>
              <w:top w:val="nil"/>
              <w:left w:val="nil"/>
              <w:bottom w:val="nil"/>
              <w:right w:val="nil"/>
            </w:tcBorders>
            <w:shd w:val="clear" w:color="auto" w:fill="auto"/>
            <w:hideMark/>
          </w:tcPr>
          <w:p w14:paraId="5C7100EC" w14:textId="786E1819" w:rsidR="0038376C" w:rsidRPr="00DF3CCA" w:rsidRDefault="0038376C" w:rsidP="000D3793">
            <w:pPr>
              <w:jc w:val="left"/>
              <w:textAlignment w:val="baseline"/>
              <w:rPr>
                <w:rFonts w:eastAsia="Times New Roman"/>
              </w:rPr>
            </w:pPr>
            <w:r w:rsidRPr="006E7E85">
              <w:rPr>
                <w:rFonts w:eastAsia="Times New Roman"/>
              </w:rPr>
              <w:t>Electric Reliability Council of Texas</w:t>
            </w:r>
          </w:p>
        </w:tc>
      </w:tr>
      <w:tr w:rsidR="0038376C" w:rsidRPr="006E7E85" w14:paraId="2D48D071" w14:textId="77777777" w:rsidTr="00DF3CCA">
        <w:trPr>
          <w:trHeight w:val="300"/>
          <w:jc w:val="right"/>
        </w:trPr>
        <w:tc>
          <w:tcPr>
            <w:tcW w:w="2430" w:type="dxa"/>
            <w:tcBorders>
              <w:top w:val="nil"/>
              <w:left w:val="nil"/>
              <w:bottom w:val="nil"/>
              <w:right w:val="nil"/>
            </w:tcBorders>
            <w:shd w:val="clear" w:color="auto" w:fill="auto"/>
            <w:hideMark/>
          </w:tcPr>
          <w:p w14:paraId="2977E6D0" w14:textId="329F7FD4" w:rsidR="0038376C" w:rsidRPr="00DF3CCA" w:rsidRDefault="0038376C" w:rsidP="000D3793">
            <w:pPr>
              <w:jc w:val="left"/>
              <w:textAlignment w:val="baseline"/>
              <w:rPr>
                <w:rFonts w:eastAsia="Times New Roman"/>
              </w:rPr>
            </w:pPr>
            <w:r w:rsidRPr="006E7E85">
              <w:rPr>
                <w:rFonts w:eastAsia="Times New Roman"/>
              </w:rPr>
              <w:t>FERC</w:t>
            </w:r>
          </w:p>
        </w:tc>
        <w:tc>
          <w:tcPr>
            <w:tcW w:w="5580" w:type="dxa"/>
            <w:tcBorders>
              <w:top w:val="nil"/>
              <w:left w:val="nil"/>
              <w:bottom w:val="nil"/>
              <w:right w:val="nil"/>
            </w:tcBorders>
            <w:shd w:val="clear" w:color="auto" w:fill="auto"/>
            <w:hideMark/>
          </w:tcPr>
          <w:p w14:paraId="77DE7C05" w14:textId="2BF7AE86" w:rsidR="0038376C" w:rsidRPr="00DF3CCA" w:rsidRDefault="0038376C" w:rsidP="000D3793">
            <w:pPr>
              <w:jc w:val="left"/>
              <w:textAlignment w:val="baseline"/>
              <w:rPr>
                <w:rFonts w:eastAsia="Times New Roman"/>
              </w:rPr>
            </w:pPr>
            <w:r w:rsidRPr="006E7E85">
              <w:rPr>
                <w:rFonts w:eastAsia="Times New Roman"/>
              </w:rPr>
              <w:t>Federal Energy Regulatory Commission</w:t>
            </w:r>
          </w:p>
        </w:tc>
      </w:tr>
      <w:tr w:rsidR="00E13BE4" w:rsidRPr="00E13BE4" w14:paraId="7483ADA9" w14:textId="77777777" w:rsidTr="00DF3CCA">
        <w:trPr>
          <w:trHeight w:val="300"/>
          <w:jc w:val="right"/>
        </w:trPr>
        <w:tc>
          <w:tcPr>
            <w:tcW w:w="2430" w:type="dxa"/>
            <w:tcBorders>
              <w:top w:val="nil"/>
              <w:left w:val="nil"/>
              <w:bottom w:val="nil"/>
              <w:right w:val="nil"/>
            </w:tcBorders>
            <w:shd w:val="clear" w:color="auto" w:fill="auto"/>
          </w:tcPr>
          <w:p w14:paraId="36A09A4E" w14:textId="3FC3BDAF" w:rsidR="00E13BE4" w:rsidRPr="00E13BE4" w:rsidRDefault="00E13BE4" w:rsidP="000D3793">
            <w:pPr>
              <w:jc w:val="left"/>
              <w:textAlignment w:val="baseline"/>
              <w:rPr>
                <w:rFonts w:eastAsia="Times New Roman"/>
                <w:bCs/>
              </w:rPr>
            </w:pPr>
            <w:r w:rsidRPr="00DF3CCA">
              <w:rPr>
                <w:bCs/>
              </w:rPr>
              <w:t>GRIP</w:t>
            </w:r>
          </w:p>
        </w:tc>
        <w:tc>
          <w:tcPr>
            <w:tcW w:w="5580" w:type="dxa"/>
            <w:tcBorders>
              <w:top w:val="nil"/>
              <w:left w:val="nil"/>
              <w:bottom w:val="nil"/>
              <w:right w:val="nil"/>
            </w:tcBorders>
            <w:shd w:val="clear" w:color="auto" w:fill="auto"/>
          </w:tcPr>
          <w:p w14:paraId="4A4C847E" w14:textId="73675096" w:rsidR="00E13BE4" w:rsidRPr="00E13BE4" w:rsidRDefault="00E13BE4" w:rsidP="000D3793">
            <w:pPr>
              <w:jc w:val="left"/>
              <w:textAlignment w:val="baseline"/>
              <w:rPr>
                <w:rFonts w:eastAsia="Times New Roman"/>
                <w:bCs/>
              </w:rPr>
            </w:pPr>
            <w:r w:rsidRPr="00DF3CCA">
              <w:rPr>
                <w:bCs/>
              </w:rPr>
              <w:t>DOE Grid Resilience and Innovation Partnerships Program</w:t>
            </w:r>
          </w:p>
        </w:tc>
      </w:tr>
      <w:tr w:rsidR="00F5005A" w:rsidRPr="00F5005A" w14:paraId="3146DD8E" w14:textId="77777777" w:rsidTr="00D07B44">
        <w:trPr>
          <w:trHeight w:val="300"/>
          <w:jc w:val="right"/>
        </w:trPr>
        <w:tc>
          <w:tcPr>
            <w:tcW w:w="2430" w:type="dxa"/>
            <w:tcBorders>
              <w:top w:val="nil"/>
              <w:left w:val="nil"/>
              <w:bottom w:val="nil"/>
              <w:right w:val="nil"/>
            </w:tcBorders>
            <w:shd w:val="clear" w:color="auto" w:fill="auto"/>
          </w:tcPr>
          <w:p w14:paraId="665AEC65" w14:textId="52DE88EA" w:rsidR="00F5005A" w:rsidRPr="006E7E85" w:rsidRDefault="00F5005A" w:rsidP="000D3793">
            <w:pPr>
              <w:jc w:val="left"/>
              <w:textAlignment w:val="baseline"/>
              <w:rPr>
                <w:rFonts w:eastAsia="Times New Roman"/>
              </w:rPr>
            </w:pPr>
            <w:r>
              <w:rPr>
                <w:rFonts w:eastAsia="Calibri"/>
              </w:rPr>
              <w:t>NCEI</w:t>
            </w:r>
          </w:p>
        </w:tc>
        <w:tc>
          <w:tcPr>
            <w:tcW w:w="5580" w:type="dxa"/>
            <w:tcBorders>
              <w:top w:val="nil"/>
              <w:left w:val="nil"/>
              <w:bottom w:val="nil"/>
              <w:right w:val="nil"/>
            </w:tcBorders>
            <w:shd w:val="clear" w:color="auto" w:fill="auto"/>
          </w:tcPr>
          <w:p w14:paraId="492BD2E8" w14:textId="7D1A8424" w:rsidR="00F5005A" w:rsidRPr="006E7E85" w:rsidRDefault="00F5005A" w:rsidP="000D3793">
            <w:pPr>
              <w:jc w:val="left"/>
              <w:textAlignment w:val="baseline"/>
              <w:rPr>
                <w:rFonts w:eastAsia="Times New Roman"/>
              </w:rPr>
            </w:pPr>
            <w:r>
              <w:rPr>
                <w:rFonts w:eastAsia="Calibri"/>
              </w:rPr>
              <w:t>National Centers for Environmental Information</w:t>
            </w:r>
          </w:p>
        </w:tc>
      </w:tr>
      <w:tr w:rsidR="0038376C" w:rsidRPr="006E7E85" w14:paraId="1B3F6F72" w14:textId="77777777" w:rsidTr="00DF3CCA">
        <w:trPr>
          <w:trHeight w:val="300"/>
          <w:jc w:val="right"/>
        </w:trPr>
        <w:tc>
          <w:tcPr>
            <w:tcW w:w="2430" w:type="dxa"/>
            <w:tcBorders>
              <w:top w:val="nil"/>
              <w:left w:val="nil"/>
              <w:bottom w:val="nil"/>
              <w:right w:val="nil"/>
            </w:tcBorders>
            <w:shd w:val="clear" w:color="auto" w:fill="auto"/>
            <w:hideMark/>
          </w:tcPr>
          <w:p w14:paraId="5D714602" w14:textId="57EF2198" w:rsidR="0038376C" w:rsidRPr="00DF3CCA" w:rsidRDefault="0038376C" w:rsidP="000D3793">
            <w:pPr>
              <w:jc w:val="left"/>
              <w:textAlignment w:val="baseline"/>
              <w:rPr>
                <w:rFonts w:eastAsia="Times New Roman"/>
              </w:rPr>
            </w:pPr>
            <w:r w:rsidRPr="006E7E85">
              <w:rPr>
                <w:rFonts w:eastAsia="Times New Roman"/>
              </w:rPr>
              <w:t>NERC</w:t>
            </w:r>
          </w:p>
        </w:tc>
        <w:tc>
          <w:tcPr>
            <w:tcW w:w="5580" w:type="dxa"/>
            <w:tcBorders>
              <w:top w:val="nil"/>
              <w:left w:val="nil"/>
              <w:bottom w:val="nil"/>
              <w:right w:val="nil"/>
            </w:tcBorders>
            <w:shd w:val="clear" w:color="auto" w:fill="auto"/>
            <w:hideMark/>
          </w:tcPr>
          <w:p w14:paraId="5D979517" w14:textId="0BE8B909" w:rsidR="0038376C" w:rsidRPr="00DF3CCA" w:rsidRDefault="0038376C" w:rsidP="000D3793">
            <w:pPr>
              <w:jc w:val="left"/>
              <w:textAlignment w:val="baseline"/>
              <w:rPr>
                <w:rFonts w:eastAsia="Times New Roman"/>
              </w:rPr>
            </w:pPr>
            <w:r w:rsidRPr="006E7E85">
              <w:rPr>
                <w:rFonts w:eastAsia="Times New Roman"/>
              </w:rPr>
              <w:t>North American Electric Reliability Corporation</w:t>
            </w:r>
          </w:p>
        </w:tc>
      </w:tr>
      <w:tr w:rsidR="00F5005A" w:rsidRPr="00F5005A" w14:paraId="6AF61F77" w14:textId="77777777" w:rsidTr="00D07B44">
        <w:trPr>
          <w:trHeight w:val="300"/>
          <w:jc w:val="right"/>
        </w:trPr>
        <w:tc>
          <w:tcPr>
            <w:tcW w:w="2430" w:type="dxa"/>
            <w:tcBorders>
              <w:top w:val="nil"/>
              <w:left w:val="nil"/>
              <w:bottom w:val="nil"/>
              <w:right w:val="nil"/>
            </w:tcBorders>
            <w:shd w:val="clear" w:color="auto" w:fill="auto"/>
          </w:tcPr>
          <w:p w14:paraId="090E5385" w14:textId="66EA001E" w:rsidR="00F5005A" w:rsidRPr="006E7E85" w:rsidRDefault="00F5005A" w:rsidP="000D3793">
            <w:pPr>
              <w:jc w:val="left"/>
              <w:textAlignment w:val="baseline"/>
              <w:rPr>
                <w:rFonts w:eastAsia="Times New Roman"/>
              </w:rPr>
            </w:pPr>
            <w:r>
              <w:rPr>
                <w:rFonts w:eastAsia="Calibri"/>
              </w:rPr>
              <w:t>NOAA</w:t>
            </w:r>
          </w:p>
        </w:tc>
        <w:tc>
          <w:tcPr>
            <w:tcW w:w="5580" w:type="dxa"/>
            <w:tcBorders>
              <w:top w:val="nil"/>
              <w:left w:val="nil"/>
              <w:bottom w:val="nil"/>
              <w:right w:val="nil"/>
            </w:tcBorders>
            <w:shd w:val="clear" w:color="auto" w:fill="auto"/>
          </w:tcPr>
          <w:p w14:paraId="05A6CC3E" w14:textId="15A084A5" w:rsidR="00F5005A" w:rsidRPr="006E7E85" w:rsidRDefault="00F5005A" w:rsidP="000D3793">
            <w:pPr>
              <w:jc w:val="left"/>
              <w:textAlignment w:val="baseline"/>
              <w:rPr>
                <w:rFonts w:eastAsia="Times New Roman"/>
              </w:rPr>
            </w:pPr>
            <w:r>
              <w:rPr>
                <w:rFonts w:eastAsia="Calibri"/>
              </w:rPr>
              <w:t>National Oceanic and Atmospheric Administration</w:t>
            </w:r>
          </w:p>
        </w:tc>
      </w:tr>
      <w:tr w:rsidR="0038376C" w:rsidRPr="006E7E85" w14:paraId="26E0D3BD" w14:textId="77777777" w:rsidTr="00DF3CCA">
        <w:trPr>
          <w:trHeight w:val="300"/>
          <w:jc w:val="right"/>
        </w:trPr>
        <w:tc>
          <w:tcPr>
            <w:tcW w:w="2430" w:type="dxa"/>
            <w:tcBorders>
              <w:top w:val="nil"/>
              <w:left w:val="nil"/>
              <w:bottom w:val="nil"/>
              <w:right w:val="nil"/>
            </w:tcBorders>
            <w:shd w:val="clear" w:color="auto" w:fill="auto"/>
            <w:hideMark/>
          </w:tcPr>
          <w:p w14:paraId="6BA324F4" w14:textId="330FCD1A" w:rsidR="0038376C" w:rsidRPr="00DF3CCA" w:rsidRDefault="0038376C" w:rsidP="000D3793">
            <w:pPr>
              <w:jc w:val="left"/>
              <w:textAlignment w:val="baseline"/>
              <w:rPr>
                <w:rFonts w:eastAsia="Times New Roman"/>
              </w:rPr>
            </w:pPr>
            <w:r w:rsidRPr="006E7E85">
              <w:rPr>
                <w:rFonts w:eastAsia="Times New Roman"/>
              </w:rPr>
              <w:t>O&amp;M</w:t>
            </w:r>
          </w:p>
        </w:tc>
        <w:tc>
          <w:tcPr>
            <w:tcW w:w="5580" w:type="dxa"/>
            <w:tcBorders>
              <w:top w:val="nil"/>
              <w:left w:val="nil"/>
              <w:bottom w:val="nil"/>
              <w:right w:val="nil"/>
            </w:tcBorders>
            <w:shd w:val="clear" w:color="auto" w:fill="auto"/>
            <w:hideMark/>
          </w:tcPr>
          <w:p w14:paraId="6CCD9BD9" w14:textId="003C2F99" w:rsidR="0038376C" w:rsidRPr="00DF3CCA" w:rsidRDefault="0038376C" w:rsidP="000D3793">
            <w:pPr>
              <w:jc w:val="left"/>
              <w:textAlignment w:val="baseline"/>
              <w:rPr>
                <w:rFonts w:eastAsia="Times New Roman"/>
              </w:rPr>
            </w:pPr>
            <w:r w:rsidRPr="006E7E85">
              <w:rPr>
                <w:rFonts w:eastAsia="Times New Roman"/>
              </w:rPr>
              <w:t>Operation and Maintenance</w:t>
            </w:r>
          </w:p>
        </w:tc>
      </w:tr>
      <w:tr w:rsidR="0038376C" w:rsidRPr="006E7E85" w14:paraId="4EB890DB" w14:textId="77777777" w:rsidTr="00DF3CCA">
        <w:trPr>
          <w:trHeight w:val="300"/>
          <w:jc w:val="right"/>
        </w:trPr>
        <w:tc>
          <w:tcPr>
            <w:tcW w:w="2430" w:type="dxa"/>
            <w:tcBorders>
              <w:top w:val="nil"/>
              <w:left w:val="nil"/>
              <w:bottom w:val="nil"/>
              <w:right w:val="nil"/>
            </w:tcBorders>
            <w:shd w:val="clear" w:color="auto" w:fill="auto"/>
          </w:tcPr>
          <w:p w14:paraId="1A27AF89" w14:textId="7C955B66" w:rsidR="0038376C" w:rsidRPr="00DF3CCA" w:rsidRDefault="006E7E85" w:rsidP="000D3793">
            <w:pPr>
              <w:jc w:val="left"/>
              <w:textAlignment w:val="baseline"/>
              <w:rPr>
                <w:rFonts w:eastAsia="Times New Roman"/>
                <w:bCs/>
              </w:rPr>
            </w:pPr>
            <w:r w:rsidRPr="00DF3CCA">
              <w:rPr>
                <w:rFonts w:eastAsia="Calibri"/>
                <w:bCs/>
              </w:rPr>
              <w:t>PFD</w:t>
            </w:r>
          </w:p>
        </w:tc>
        <w:tc>
          <w:tcPr>
            <w:tcW w:w="5580" w:type="dxa"/>
            <w:tcBorders>
              <w:top w:val="nil"/>
              <w:left w:val="nil"/>
              <w:bottom w:val="nil"/>
              <w:right w:val="nil"/>
            </w:tcBorders>
            <w:shd w:val="clear" w:color="auto" w:fill="auto"/>
          </w:tcPr>
          <w:p w14:paraId="7F85E53F" w14:textId="1FFAA932" w:rsidR="0038376C" w:rsidRPr="00DF3CCA" w:rsidRDefault="006E7E85" w:rsidP="000D3793">
            <w:pPr>
              <w:jc w:val="left"/>
              <w:textAlignment w:val="baseline"/>
              <w:rPr>
                <w:rFonts w:eastAsia="Times New Roman"/>
                <w:bCs/>
              </w:rPr>
            </w:pPr>
            <w:r w:rsidRPr="00DF3CCA">
              <w:rPr>
                <w:rFonts w:eastAsia="Calibri"/>
                <w:bCs/>
              </w:rPr>
              <w:t>Proposal for Decision</w:t>
            </w:r>
          </w:p>
        </w:tc>
      </w:tr>
      <w:tr w:rsidR="00AF0B20" w:rsidRPr="00AF0B20" w14:paraId="2F20B219" w14:textId="77777777" w:rsidTr="00DF3CCA">
        <w:trPr>
          <w:trHeight w:val="300"/>
          <w:jc w:val="right"/>
        </w:trPr>
        <w:tc>
          <w:tcPr>
            <w:tcW w:w="2430" w:type="dxa"/>
            <w:tcBorders>
              <w:top w:val="nil"/>
              <w:left w:val="nil"/>
              <w:bottom w:val="nil"/>
              <w:right w:val="nil"/>
            </w:tcBorders>
            <w:shd w:val="clear" w:color="auto" w:fill="auto"/>
          </w:tcPr>
          <w:p w14:paraId="5533EB65" w14:textId="6C8D4F4F" w:rsidR="00AF0B20" w:rsidRPr="00AF0B20" w:rsidRDefault="00AF0B20" w:rsidP="000D3793">
            <w:pPr>
              <w:jc w:val="left"/>
              <w:textAlignment w:val="baseline"/>
              <w:rPr>
                <w:rFonts w:eastAsia="Calibri"/>
                <w:bCs/>
              </w:rPr>
            </w:pPr>
            <w:r>
              <w:t>PURA</w:t>
            </w:r>
          </w:p>
        </w:tc>
        <w:tc>
          <w:tcPr>
            <w:tcW w:w="5580" w:type="dxa"/>
            <w:tcBorders>
              <w:top w:val="nil"/>
              <w:left w:val="nil"/>
              <w:bottom w:val="nil"/>
              <w:right w:val="nil"/>
            </w:tcBorders>
            <w:shd w:val="clear" w:color="auto" w:fill="auto"/>
          </w:tcPr>
          <w:p w14:paraId="43DA7754" w14:textId="66CB717F" w:rsidR="00AF0B20" w:rsidRPr="00AF0B20" w:rsidRDefault="00AF0B20" w:rsidP="000D3793">
            <w:pPr>
              <w:jc w:val="left"/>
              <w:textAlignment w:val="baseline"/>
              <w:rPr>
                <w:rFonts w:eastAsia="Calibri"/>
                <w:bCs/>
              </w:rPr>
            </w:pPr>
            <w:r>
              <w:t xml:space="preserve">Public Utility Regulatory Act </w:t>
            </w:r>
          </w:p>
        </w:tc>
      </w:tr>
      <w:tr w:rsidR="00D07B44" w:rsidRPr="00AF0B20" w14:paraId="049A7FF0" w14:textId="77777777" w:rsidTr="00DF3CCA">
        <w:trPr>
          <w:trHeight w:val="300"/>
          <w:jc w:val="right"/>
        </w:trPr>
        <w:tc>
          <w:tcPr>
            <w:tcW w:w="2430" w:type="dxa"/>
            <w:tcBorders>
              <w:top w:val="nil"/>
              <w:left w:val="nil"/>
              <w:bottom w:val="nil"/>
              <w:right w:val="nil"/>
            </w:tcBorders>
            <w:shd w:val="clear" w:color="auto" w:fill="auto"/>
          </w:tcPr>
          <w:p w14:paraId="22190BE9" w14:textId="41ACF9C5" w:rsidR="00D07B44" w:rsidRDefault="00D07B44" w:rsidP="000D3793">
            <w:pPr>
              <w:jc w:val="left"/>
              <w:textAlignment w:val="baseline"/>
            </w:pPr>
            <w:r>
              <w:t>Railroad Commission</w:t>
            </w:r>
          </w:p>
        </w:tc>
        <w:tc>
          <w:tcPr>
            <w:tcW w:w="5580" w:type="dxa"/>
            <w:tcBorders>
              <w:top w:val="nil"/>
              <w:left w:val="nil"/>
              <w:bottom w:val="nil"/>
              <w:right w:val="nil"/>
            </w:tcBorders>
            <w:shd w:val="clear" w:color="auto" w:fill="auto"/>
          </w:tcPr>
          <w:p w14:paraId="35EA9D1F" w14:textId="79B3E734" w:rsidR="00D07B44" w:rsidRDefault="00D07B44" w:rsidP="000D3793">
            <w:pPr>
              <w:jc w:val="left"/>
              <w:textAlignment w:val="baseline"/>
            </w:pPr>
            <w:r>
              <w:t>Railroad Commission of Texas</w:t>
            </w:r>
          </w:p>
        </w:tc>
      </w:tr>
      <w:tr w:rsidR="00C36B60" w:rsidRPr="00AF0B20" w14:paraId="763D9807" w14:textId="77777777" w:rsidTr="00DF3CCA">
        <w:trPr>
          <w:trHeight w:val="300"/>
          <w:jc w:val="right"/>
        </w:trPr>
        <w:tc>
          <w:tcPr>
            <w:tcW w:w="2430" w:type="dxa"/>
            <w:tcBorders>
              <w:top w:val="nil"/>
              <w:left w:val="nil"/>
              <w:bottom w:val="nil"/>
              <w:right w:val="nil"/>
            </w:tcBorders>
            <w:shd w:val="clear" w:color="auto" w:fill="auto"/>
          </w:tcPr>
          <w:p w14:paraId="453766BE" w14:textId="4781801B" w:rsidR="00C36B60" w:rsidRDefault="00C36B60" w:rsidP="000D3793">
            <w:pPr>
              <w:jc w:val="left"/>
              <w:textAlignment w:val="baseline"/>
            </w:pPr>
            <w:r>
              <w:t>ROE</w:t>
            </w:r>
          </w:p>
        </w:tc>
        <w:tc>
          <w:tcPr>
            <w:tcW w:w="5580" w:type="dxa"/>
            <w:tcBorders>
              <w:top w:val="nil"/>
              <w:left w:val="nil"/>
              <w:bottom w:val="nil"/>
              <w:right w:val="nil"/>
            </w:tcBorders>
            <w:shd w:val="clear" w:color="auto" w:fill="auto"/>
          </w:tcPr>
          <w:p w14:paraId="796D6EB9" w14:textId="20FBE175" w:rsidR="00C36B60" w:rsidRDefault="00C36B60" w:rsidP="000D3793">
            <w:pPr>
              <w:jc w:val="left"/>
              <w:textAlignment w:val="baseline"/>
            </w:pPr>
            <w:r>
              <w:t>Return on Equity</w:t>
            </w:r>
          </w:p>
        </w:tc>
      </w:tr>
      <w:tr w:rsidR="00F76137" w:rsidRPr="00F76137" w14:paraId="0B2C56BB" w14:textId="77777777" w:rsidTr="00D07B44">
        <w:trPr>
          <w:trHeight w:val="300"/>
          <w:jc w:val="right"/>
        </w:trPr>
        <w:tc>
          <w:tcPr>
            <w:tcW w:w="2430" w:type="dxa"/>
            <w:tcBorders>
              <w:top w:val="nil"/>
              <w:left w:val="nil"/>
              <w:bottom w:val="nil"/>
              <w:right w:val="nil"/>
            </w:tcBorders>
            <w:shd w:val="clear" w:color="auto" w:fill="auto"/>
          </w:tcPr>
          <w:p w14:paraId="5D7E9655" w14:textId="14A0720F" w:rsidR="00F76137" w:rsidRPr="00F76137" w:rsidRDefault="00F76137" w:rsidP="000D3793">
            <w:pPr>
              <w:jc w:val="left"/>
              <w:textAlignment w:val="baseline"/>
              <w:rPr>
                <w:rFonts w:eastAsia="Calibri"/>
                <w:bCs/>
              </w:rPr>
            </w:pPr>
            <w:r w:rsidRPr="00DF3CCA">
              <w:rPr>
                <w:rFonts w:eastAsia="Calibri"/>
                <w:bCs/>
              </w:rPr>
              <w:t>SAIDI</w:t>
            </w:r>
          </w:p>
        </w:tc>
        <w:tc>
          <w:tcPr>
            <w:tcW w:w="5580" w:type="dxa"/>
            <w:tcBorders>
              <w:top w:val="nil"/>
              <w:left w:val="nil"/>
              <w:bottom w:val="nil"/>
              <w:right w:val="nil"/>
            </w:tcBorders>
            <w:shd w:val="clear" w:color="auto" w:fill="auto"/>
          </w:tcPr>
          <w:p w14:paraId="5C5A3190" w14:textId="6E39A7DF" w:rsidR="00F76137" w:rsidRPr="00F76137" w:rsidRDefault="00F76137" w:rsidP="000D3793">
            <w:pPr>
              <w:jc w:val="left"/>
              <w:textAlignment w:val="baseline"/>
              <w:rPr>
                <w:rFonts w:eastAsia="Calibri"/>
                <w:bCs/>
              </w:rPr>
            </w:pPr>
            <w:r w:rsidRPr="00DF3CCA">
              <w:rPr>
                <w:rFonts w:eastAsia="Calibri"/>
                <w:bCs/>
              </w:rPr>
              <w:t>System Average Interruption Duration Index</w:t>
            </w:r>
          </w:p>
        </w:tc>
      </w:tr>
      <w:tr w:rsidR="00F76137" w:rsidRPr="00F76137" w14:paraId="0CA3CEE8" w14:textId="77777777" w:rsidTr="00D07B44">
        <w:trPr>
          <w:trHeight w:val="300"/>
          <w:jc w:val="right"/>
        </w:trPr>
        <w:tc>
          <w:tcPr>
            <w:tcW w:w="2430" w:type="dxa"/>
            <w:tcBorders>
              <w:top w:val="nil"/>
              <w:left w:val="nil"/>
              <w:bottom w:val="nil"/>
              <w:right w:val="nil"/>
            </w:tcBorders>
            <w:shd w:val="clear" w:color="auto" w:fill="auto"/>
          </w:tcPr>
          <w:p w14:paraId="1EB54402" w14:textId="266418F2" w:rsidR="00F76137" w:rsidRPr="00F76137" w:rsidRDefault="00F76137" w:rsidP="000D3793">
            <w:pPr>
              <w:jc w:val="left"/>
              <w:textAlignment w:val="baseline"/>
              <w:rPr>
                <w:rFonts w:eastAsia="Calibri"/>
                <w:bCs/>
              </w:rPr>
            </w:pPr>
            <w:r w:rsidRPr="00DF3CCA">
              <w:rPr>
                <w:rFonts w:eastAsia="Calibri"/>
                <w:bCs/>
              </w:rPr>
              <w:t>SAIFI</w:t>
            </w:r>
          </w:p>
        </w:tc>
        <w:tc>
          <w:tcPr>
            <w:tcW w:w="5580" w:type="dxa"/>
            <w:tcBorders>
              <w:top w:val="nil"/>
              <w:left w:val="nil"/>
              <w:bottom w:val="nil"/>
              <w:right w:val="nil"/>
            </w:tcBorders>
            <w:shd w:val="clear" w:color="auto" w:fill="auto"/>
          </w:tcPr>
          <w:p w14:paraId="2AFED0FA" w14:textId="34EA13E4" w:rsidR="00F76137" w:rsidRPr="00F76137" w:rsidRDefault="00F76137" w:rsidP="000D3793">
            <w:pPr>
              <w:jc w:val="left"/>
              <w:textAlignment w:val="baseline"/>
              <w:rPr>
                <w:rFonts w:eastAsia="Calibri"/>
                <w:bCs/>
              </w:rPr>
            </w:pPr>
            <w:r w:rsidRPr="00DF3CCA">
              <w:rPr>
                <w:rFonts w:eastAsia="Calibri"/>
                <w:bCs/>
              </w:rPr>
              <w:t>System Average Interruption Frequency Index</w:t>
            </w:r>
          </w:p>
        </w:tc>
      </w:tr>
      <w:tr w:rsidR="0038376C" w:rsidRPr="006E7E85" w14:paraId="4315B94E" w14:textId="77777777" w:rsidTr="00DF3CCA">
        <w:trPr>
          <w:trHeight w:val="300"/>
          <w:jc w:val="right"/>
        </w:trPr>
        <w:tc>
          <w:tcPr>
            <w:tcW w:w="2430" w:type="dxa"/>
            <w:tcBorders>
              <w:top w:val="nil"/>
              <w:left w:val="nil"/>
              <w:bottom w:val="nil"/>
              <w:right w:val="nil"/>
            </w:tcBorders>
            <w:shd w:val="clear" w:color="auto" w:fill="auto"/>
          </w:tcPr>
          <w:p w14:paraId="1999FBDA" w14:textId="47FA16A6" w:rsidR="0038376C" w:rsidRPr="00DF3CCA" w:rsidRDefault="00734829" w:rsidP="000D3793">
            <w:pPr>
              <w:jc w:val="left"/>
              <w:textAlignment w:val="baseline"/>
              <w:rPr>
                <w:rFonts w:eastAsia="Times New Roman"/>
              </w:rPr>
            </w:pPr>
            <w:r>
              <w:rPr>
                <w:rFonts w:eastAsia="Times New Roman"/>
              </w:rPr>
              <w:t>TDU</w:t>
            </w:r>
          </w:p>
        </w:tc>
        <w:tc>
          <w:tcPr>
            <w:tcW w:w="5580" w:type="dxa"/>
            <w:tcBorders>
              <w:top w:val="nil"/>
              <w:left w:val="nil"/>
              <w:bottom w:val="nil"/>
              <w:right w:val="nil"/>
            </w:tcBorders>
            <w:shd w:val="clear" w:color="auto" w:fill="auto"/>
          </w:tcPr>
          <w:p w14:paraId="435F88F3" w14:textId="2AF6DA5A" w:rsidR="0038376C" w:rsidRPr="00DF3CCA" w:rsidRDefault="00734829" w:rsidP="000D3793">
            <w:pPr>
              <w:jc w:val="left"/>
              <w:textAlignment w:val="baseline"/>
              <w:rPr>
                <w:rFonts w:eastAsia="Times New Roman"/>
              </w:rPr>
            </w:pPr>
            <w:r>
              <w:rPr>
                <w:rFonts w:eastAsia="Times New Roman"/>
              </w:rPr>
              <w:t>Transmission and Distribution Utility</w:t>
            </w:r>
          </w:p>
        </w:tc>
      </w:tr>
      <w:tr w:rsidR="0038376C" w:rsidRPr="006E7E85" w14:paraId="1D422BE0" w14:textId="77777777" w:rsidTr="00DF3CCA">
        <w:trPr>
          <w:trHeight w:val="300"/>
          <w:jc w:val="right"/>
        </w:trPr>
        <w:tc>
          <w:tcPr>
            <w:tcW w:w="2430" w:type="dxa"/>
            <w:tcBorders>
              <w:top w:val="nil"/>
              <w:left w:val="nil"/>
              <w:bottom w:val="nil"/>
              <w:right w:val="nil"/>
            </w:tcBorders>
            <w:shd w:val="clear" w:color="auto" w:fill="auto"/>
            <w:hideMark/>
          </w:tcPr>
          <w:p w14:paraId="3372B5CF" w14:textId="1309F1AA" w:rsidR="0038376C" w:rsidRPr="00DF3CCA" w:rsidRDefault="0038376C" w:rsidP="000D3793">
            <w:pPr>
              <w:jc w:val="left"/>
              <w:textAlignment w:val="baseline"/>
              <w:rPr>
                <w:rFonts w:eastAsia="Times New Roman"/>
              </w:rPr>
            </w:pPr>
            <w:r w:rsidRPr="006E7E85">
              <w:rPr>
                <w:rFonts w:eastAsia="Times New Roman"/>
              </w:rPr>
              <w:t>Test Year</w:t>
            </w:r>
          </w:p>
        </w:tc>
        <w:tc>
          <w:tcPr>
            <w:tcW w:w="5580" w:type="dxa"/>
            <w:tcBorders>
              <w:top w:val="nil"/>
              <w:left w:val="nil"/>
              <w:bottom w:val="nil"/>
              <w:right w:val="nil"/>
            </w:tcBorders>
            <w:shd w:val="clear" w:color="auto" w:fill="auto"/>
            <w:hideMark/>
          </w:tcPr>
          <w:p w14:paraId="52B5A32F" w14:textId="7F88C671" w:rsidR="0038376C" w:rsidRPr="00DF3CCA" w:rsidRDefault="0038376C" w:rsidP="000D3793">
            <w:pPr>
              <w:jc w:val="left"/>
              <w:textAlignment w:val="baseline"/>
              <w:rPr>
                <w:rFonts w:eastAsia="Times New Roman"/>
              </w:rPr>
            </w:pPr>
            <w:r w:rsidRPr="006E7E85">
              <w:rPr>
                <w:rFonts w:eastAsia="Times New Roman"/>
              </w:rPr>
              <w:t>12 months ending December 31, 2023</w:t>
            </w:r>
          </w:p>
        </w:tc>
      </w:tr>
      <w:tr w:rsidR="0038376C" w:rsidRPr="006E7E85" w14:paraId="46A3525C" w14:textId="77777777" w:rsidTr="00DF3CCA">
        <w:trPr>
          <w:trHeight w:val="300"/>
          <w:jc w:val="right"/>
        </w:trPr>
        <w:tc>
          <w:tcPr>
            <w:tcW w:w="2430" w:type="dxa"/>
            <w:tcBorders>
              <w:top w:val="nil"/>
              <w:left w:val="nil"/>
              <w:bottom w:val="nil"/>
              <w:right w:val="nil"/>
            </w:tcBorders>
            <w:shd w:val="clear" w:color="auto" w:fill="auto"/>
          </w:tcPr>
          <w:p w14:paraId="0E99F623" w14:textId="3B4E8F11" w:rsidR="0038376C" w:rsidRPr="00DF3CCA" w:rsidRDefault="0038376C" w:rsidP="0038376C">
            <w:pPr>
              <w:jc w:val="left"/>
              <w:textAlignment w:val="baseline"/>
              <w:rPr>
                <w:rFonts w:eastAsia="Times New Roman"/>
              </w:rPr>
            </w:pPr>
          </w:p>
        </w:tc>
        <w:tc>
          <w:tcPr>
            <w:tcW w:w="5580" w:type="dxa"/>
            <w:tcBorders>
              <w:top w:val="nil"/>
              <w:left w:val="nil"/>
              <w:bottom w:val="nil"/>
              <w:right w:val="nil"/>
            </w:tcBorders>
            <w:shd w:val="clear" w:color="auto" w:fill="auto"/>
          </w:tcPr>
          <w:p w14:paraId="43845450" w14:textId="2F29E9E3" w:rsidR="0038376C" w:rsidRPr="00DF3CCA" w:rsidRDefault="0038376C" w:rsidP="0038376C">
            <w:pPr>
              <w:jc w:val="left"/>
              <w:textAlignment w:val="baseline"/>
              <w:rPr>
                <w:rFonts w:eastAsia="Times New Roman"/>
              </w:rPr>
            </w:pPr>
          </w:p>
        </w:tc>
      </w:tr>
    </w:tbl>
    <w:p w14:paraId="24648156" w14:textId="77777777" w:rsidR="00A76675" w:rsidRDefault="00A76675">
      <w:pPr>
        <w:ind w:left="720" w:right="720"/>
        <w:jc w:val="left"/>
        <w:rPr>
          <w:u w:val="single"/>
        </w:rPr>
      </w:pPr>
    </w:p>
    <w:p w14:paraId="555FE104" w14:textId="77777777" w:rsidR="00A76675" w:rsidRDefault="00A76675">
      <w:pPr>
        <w:ind w:left="720" w:right="720"/>
        <w:jc w:val="left"/>
        <w:rPr>
          <w:u w:val="single"/>
        </w:rPr>
      </w:pPr>
    </w:p>
    <w:p w14:paraId="59CD43EF" w14:textId="3F05EB79" w:rsidR="00A76675" w:rsidRDefault="00A76675">
      <w:pPr>
        <w:ind w:left="720" w:right="720"/>
        <w:jc w:val="left"/>
        <w:rPr>
          <w:u w:val="single"/>
        </w:rPr>
      </w:pPr>
    </w:p>
    <w:p w14:paraId="2B46FBE2" w14:textId="3F05EB79" w:rsidR="00A76675" w:rsidRDefault="00A76675">
      <w:pPr>
        <w:ind w:left="720" w:right="720"/>
        <w:jc w:val="left"/>
        <w:rPr>
          <w:u w:val="single"/>
        </w:rPr>
      </w:pPr>
    </w:p>
    <w:p w14:paraId="711DF4A5" w14:textId="3F05EB79" w:rsidR="00274FA3" w:rsidRDefault="00274FA3">
      <w:pPr>
        <w:ind w:left="720" w:right="720"/>
        <w:jc w:val="left"/>
        <w:rPr>
          <w:u w:val="single"/>
        </w:rPr>
      </w:pPr>
    </w:p>
    <w:p w14:paraId="04575937" w14:textId="77777777" w:rsidR="008552B9" w:rsidRDefault="008552B9">
      <w:pPr>
        <w:ind w:left="720" w:right="720"/>
        <w:jc w:val="left"/>
        <w:rPr>
          <w:u w:val="single"/>
        </w:rPr>
        <w:sectPr w:rsidR="008552B9" w:rsidSect="00660A5A">
          <w:headerReference w:type="default" r:id="rId14"/>
          <w:pgSz w:w="12240" w:h="15840"/>
          <w:pgMar w:top="1440" w:right="1440" w:bottom="1440" w:left="1440" w:header="720" w:footer="720" w:gutter="0"/>
          <w:cols w:space="720"/>
        </w:sectPr>
      </w:pPr>
    </w:p>
    <w:p w14:paraId="17559E83" w14:textId="77777777" w:rsidR="00A76675" w:rsidRDefault="00A76675">
      <w:pPr>
        <w:ind w:left="720" w:right="720"/>
        <w:jc w:val="left"/>
        <w:rPr>
          <w:u w:val="single"/>
        </w:rPr>
        <w:sectPr w:rsidR="00A76675" w:rsidSect="008552B9">
          <w:headerReference w:type="default" r:id="rId15"/>
          <w:footerReference w:type="default" r:id="rId16"/>
          <w:pgSz w:w="12240" w:h="15840"/>
          <w:pgMar w:top="1440" w:right="1440" w:bottom="1440" w:left="1440" w:header="720" w:footer="720" w:gutter="0"/>
          <w:pgNumType w:start="1"/>
          <w:cols w:space="720"/>
        </w:sectPr>
      </w:pPr>
    </w:p>
    <w:p w14:paraId="0D8C7D00" w14:textId="1FE98D8F" w:rsidR="0088288E" w:rsidRPr="00D93CC6" w:rsidRDefault="00CB01B6" w:rsidP="00277C1D">
      <w:pPr>
        <w:spacing w:line="480" w:lineRule="auto"/>
        <w:ind w:left="720" w:right="720"/>
        <w:jc w:val="center"/>
        <w:rPr>
          <w:b/>
          <w:bCs/>
          <w:u w:val="single"/>
        </w:rPr>
      </w:pPr>
      <w:r w:rsidRPr="00D93CC6">
        <w:rPr>
          <w:b/>
          <w:bCs/>
          <w:u w:val="single"/>
        </w:rPr>
        <w:t xml:space="preserve">EXECUTIVE SUMMARY </w:t>
      </w:r>
      <w:r w:rsidR="0088288E" w:rsidRPr="00D93CC6">
        <w:rPr>
          <w:b/>
          <w:bCs/>
          <w:u w:val="single"/>
        </w:rPr>
        <w:t>–</w:t>
      </w:r>
      <w:r w:rsidR="00BB6971" w:rsidRPr="00D93CC6">
        <w:rPr>
          <w:b/>
          <w:bCs/>
          <w:u w:val="single"/>
        </w:rPr>
        <w:t xml:space="preserve"> POLICY</w:t>
      </w:r>
    </w:p>
    <w:p w14:paraId="5007EBE6" w14:textId="30B2B2BC" w:rsidR="00BD150A" w:rsidRPr="00D93CC6" w:rsidRDefault="0088288E" w:rsidP="4B8DF13A">
      <w:pPr>
        <w:spacing w:line="480" w:lineRule="auto"/>
        <w:ind w:left="720" w:right="720"/>
        <w:jc w:val="center"/>
        <w:rPr>
          <w:b/>
          <w:bCs/>
          <w:u w:val="single"/>
        </w:rPr>
      </w:pPr>
      <w:r w:rsidRPr="00D93CC6">
        <w:rPr>
          <w:b/>
          <w:bCs/>
          <w:u w:val="single"/>
        </w:rPr>
        <w:t>(J</w:t>
      </w:r>
      <w:r w:rsidR="006D4D51" w:rsidRPr="00D93CC6">
        <w:rPr>
          <w:b/>
          <w:bCs/>
          <w:u w:val="single"/>
        </w:rPr>
        <w:t>ASON M. RYAN)</w:t>
      </w:r>
    </w:p>
    <w:p w14:paraId="04FB48F1" w14:textId="41CEAE03" w:rsidR="00705A96" w:rsidRDefault="00C749B3" w:rsidP="00B565FF">
      <w:pPr>
        <w:spacing w:line="480" w:lineRule="auto"/>
        <w:ind w:right="720" w:firstLine="720"/>
      </w:pPr>
      <w:r>
        <w:t>T</w:t>
      </w:r>
      <w:r w:rsidR="00BF10A0">
        <w:t xml:space="preserve">he </w:t>
      </w:r>
      <w:r w:rsidR="00CC7C21">
        <w:t>part</w:t>
      </w:r>
      <w:r w:rsidR="00A741A1">
        <w:t xml:space="preserve"> </w:t>
      </w:r>
      <w:r w:rsidR="000F6C18">
        <w:t>of the s</w:t>
      </w:r>
      <w:r w:rsidR="0077414F">
        <w:t xml:space="preserve">tate </w:t>
      </w:r>
      <w:r w:rsidR="00A741A1">
        <w:t>served by CenterPoint Energy Houston Electric, LLC (“CenterPoint Houston” or the “Company”)</w:t>
      </w:r>
      <w:r w:rsidR="00161CE6">
        <w:t xml:space="preserve"> </w:t>
      </w:r>
      <w:r w:rsidR="00972970">
        <w:t xml:space="preserve">includes not only the </w:t>
      </w:r>
      <w:r w:rsidR="00E6575B">
        <w:t xml:space="preserve">fourth </w:t>
      </w:r>
      <w:r w:rsidR="004A4F43">
        <w:t xml:space="preserve">largest city and fifth </w:t>
      </w:r>
      <w:r w:rsidR="00E6575B">
        <w:t xml:space="preserve">largest </w:t>
      </w:r>
      <w:r w:rsidR="0035765C">
        <w:t>metropo</w:t>
      </w:r>
      <w:r w:rsidR="00CB584D">
        <w:t xml:space="preserve">litan </w:t>
      </w:r>
      <w:r w:rsidR="004B279A">
        <w:t>area</w:t>
      </w:r>
      <w:r w:rsidR="00CB584D">
        <w:t xml:space="preserve"> </w:t>
      </w:r>
      <w:r w:rsidR="00CB2085">
        <w:t xml:space="preserve">in the country, but also the </w:t>
      </w:r>
      <w:r w:rsidR="008B1179">
        <w:t xml:space="preserve">largest </w:t>
      </w:r>
      <w:r w:rsidR="001E1D82">
        <w:t xml:space="preserve">medical center </w:t>
      </w:r>
      <w:r w:rsidR="00DB3786">
        <w:t>on the planet</w:t>
      </w:r>
      <w:r w:rsidR="00DB620C">
        <w:t xml:space="preserve">, </w:t>
      </w:r>
      <w:r w:rsidR="00700F50">
        <w:t xml:space="preserve">one of </w:t>
      </w:r>
      <w:r w:rsidR="00DB620C">
        <w:t xml:space="preserve">the </w:t>
      </w:r>
      <w:r w:rsidR="005B5CD3">
        <w:t xml:space="preserve">largest </w:t>
      </w:r>
      <w:r w:rsidR="00700F50">
        <w:t>petroc</w:t>
      </w:r>
      <w:r w:rsidR="00E35D10">
        <w:t xml:space="preserve">hemical complexes in the world, </w:t>
      </w:r>
      <w:r w:rsidR="00B54CED">
        <w:t xml:space="preserve">and </w:t>
      </w:r>
      <w:r w:rsidR="004534BF">
        <w:t>one of the bus</w:t>
      </w:r>
      <w:r w:rsidR="00C406D4">
        <w:t xml:space="preserve">iest ports in the </w:t>
      </w:r>
      <w:r w:rsidR="00B53C1A">
        <w:t>country</w:t>
      </w:r>
      <w:r w:rsidR="00B54CED">
        <w:t>.</w:t>
      </w:r>
      <w:r w:rsidR="00272698">
        <w:t xml:space="preserve">  </w:t>
      </w:r>
      <w:r w:rsidR="00921A79">
        <w:t xml:space="preserve">  </w:t>
      </w:r>
      <w:r w:rsidR="008C5A86">
        <w:t xml:space="preserve">While the </w:t>
      </w:r>
      <w:r w:rsidR="0057740B">
        <w:t>Comp</w:t>
      </w:r>
      <w:r w:rsidR="002821C0">
        <w:t>any’s service territory</w:t>
      </w:r>
      <w:r w:rsidR="008C5A86">
        <w:t xml:space="preserve"> is </w:t>
      </w:r>
      <w:r w:rsidR="00BF5EE6">
        <w:t xml:space="preserve">only about </w:t>
      </w:r>
      <w:r w:rsidR="00E4041E">
        <w:t>2% of the geogra</w:t>
      </w:r>
      <w:r w:rsidR="00D62E66">
        <w:t>phic area of the</w:t>
      </w:r>
      <w:r w:rsidR="00BF5EE6">
        <w:t xml:space="preserve"> </w:t>
      </w:r>
      <w:r w:rsidR="008F6A3A">
        <w:t xml:space="preserve">state, </w:t>
      </w:r>
      <w:r w:rsidR="00B154C7">
        <w:t>i</w:t>
      </w:r>
      <w:r w:rsidR="007F0145">
        <w:t xml:space="preserve">ts </w:t>
      </w:r>
      <w:r w:rsidR="005F48B0">
        <w:t>customers</w:t>
      </w:r>
      <w:r w:rsidR="008F6A3A">
        <w:t xml:space="preserve"> </w:t>
      </w:r>
      <w:r w:rsidR="002C4B69">
        <w:t>consum</w:t>
      </w:r>
      <w:r w:rsidR="00D428AD">
        <w:t xml:space="preserve">e about 25% </w:t>
      </w:r>
      <w:r w:rsidR="00266BC1">
        <w:t xml:space="preserve">of the electricity </w:t>
      </w:r>
      <w:r w:rsidR="002E78FD">
        <w:t xml:space="preserve">used in the </w:t>
      </w:r>
      <w:r w:rsidR="00351BBB">
        <w:t>Electric Rel</w:t>
      </w:r>
      <w:r w:rsidR="003B39D6">
        <w:t xml:space="preserve">iability Council of </w:t>
      </w:r>
      <w:r w:rsidR="00B0238A">
        <w:t>Texas (</w:t>
      </w:r>
      <w:r w:rsidR="002926B8">
        <w:t>“</w:t>
      </w:r>
      <w:r w:rsidR="00F7135D">
        <w:t xml:space="preserve">ERCOT”) </w:t>
      </w:r>
      <w:r w:rsidR="00300239">
        <w:t>region</w:t>
      </w:r>
      <w:r w:rsidR="004C1B8C">
        <w:t xml:space="preserve"> of the </w:t>
      </w:r>
      <w:r w:rsidR="00CE593B">
        <w:t>state</w:t>
      </w:r>
      <w:r w:rsidR="00300239">
        <w:t>.</w:t>
      </w:r>
      <w:r w:rsidR="00921A79">
        <w:t xml:space="preserve">  </w:t>
      </w:r>
      <w:r w:rsidR="00DE2D95">
        <w:t xml:space="preserve">And the </w:t>
      </w:r>
      <w:r w:rsidR="00E73A2D">
        <w:t>area is growing on top of that</w:t>
      </w:r>
      <w:r w:rsidR="002E0E7F">
        <w:t xml:space="preserve">.  </w:t>
      </w:r>
      <w:r w:rsidR="002E10B8">
        <w:t>Each</w:t>
      </w:r>
      <w:r w:rsidR="00940AB9">
        <w:t xml:space="preserve"> year, </w:t>
      </w:r>
      <w:r w:rsidR="500EF6E4">
        <w:t xml:space="preserve">CenterPoint Houston </w:t>
      </w:r>
      <w:r w:rsidR="00940AB9">
        <w:t>adds</w:t>
      </w:r>
      <w:r w:rsidR="00B45C7F">
        <w:t xml:space="preserve"> </w:t>
      </w:r>
      <w:r w:rsidR="00964E3B">
        <w:t xml:space="preserve">new customers </w:t>
      </w:r>
      <w:r w:rsidR="00B45C7F">
        <w:t>roughly equivalent</w:t>
      </w:r>
      <w:r w:rsidR="00A37440">
        <w:t xml:space="preserve"> in number to the City of </w:t>
      </w:r>
      <w:r w:rsidR="003F049B">
        <w:t xml:space="preserve">Waco. </w:t>
      </w:r>
      <w:r w:rsidR="000C2D9F">
        <w:t xml:space="preserve"> </w:t>
      </w:r>
      <w:r w:rsidR="00BA53B7">
        <w:t xml:space="preserve">But </w:t>
      </w:r>
      <w:r w:rsidR="00476FAA">
        <w:t>more than just growth in</w:t>
      </w:r>
      <w:r w:rsidR="00FA7B29">
        <w:t xml:space="preserve"> the nu</w:t>
      </w:r>
      <w:r w:rsidR="006D7EA7">
        <w:t>mber of people in the region</w:t>
      </w:r>
      <w:r w:rsidR="6FDD75B1">
        <w:t>, electrification of the industrial sector</w:t>
      </w:r>
      <w:r w:rsidR="05606DE7">
        <w:t xml:space="preserve"> </w:t>
      </w:r>
      <w:r w:rsidR="39D9D803">
        <w:t xml:space="preserve">and hydrogen development </w:t>
      </w:r>
      <w:r w:rsidR="05606DE7">
        <w:t xml:space="preserve">could double or triple the </w:t>
      </w:r>
      <w:r w:rsidR="00A51466">
        <w:t xml:space="preserve">electric </w:t>
      </w:r>
      <w:r w:rsidR="05606DE7">
        <w:t>load in the Greater Houston area over the next few decades</w:t>
      </w:r>
      <w:r w:rsidR="00DB2C34">
        <w:t>.</w:t>
      </w:r>
    </w:p>
    <w:p w14:paraId="5DC7EA1B" w14:textId="2C784CAC" w:rsidR="00B373B9" w:rsidRDefault="003F049B" w:rsidP="00B565FF">
      <w:pPr>
        <w:spacing w:line="480" w:lineRule="auto"/>
        <w:ind w:right="720" w:firstLine="720"/>
      </w:pPr>
      <w:r>
        <w:t xml:space="preserve">At the same time, </w:t>
      </w:r>
      <w:r w:rsidR="00B13857">
        <w:t xml:space="preserve">Harris County—the heart of the Company’s service area—is one of the most </w:t>
      </w:r>
      <w:r w:rsidR="009A6862">
        <w:t xml:space="preserve">vulnerable counties in the country to severe weather. </w:t>
      </w:r>
      <w:r w:rsidR="18C3A2E3">
        <w:t xml:space="preserve"> </w:t>
      </w:r>
      <w:r w:rsidR="00255534">
        <w:t xml:space="preserve">As </w:t>
      </w:r>
      <w:r w:rsidR="00A81485">
        <w:t xml:space="preserve">more customers </w:t>
      </w:r>
      <w:r w:rsidR="00E73207">
        <w:t>rely</w:t>
      </w:r>
      <w:r w:rsidR="00255534">
        <w:t xml:space="preserve"> </w:t>
      </w:r>
      <w:r w:rsidR="00291B8A">
        <w:t xml:space="preserve">more heavily on electricity </w:t>
      </w:r>
      <w:r w:rsidR="0084327C">
        <w:t xml:space="preserve">in the path of </w:t>
      </w:r>
      <w:r w:rsidR="00EC1201">
        <w:t>hurr</w:t>
      </w:r>
      <w:r w:rsidR="00AC1D5C">
        <w:t>icanes</w:t>
      </w:r>
      <w:r w:rsidR="00141E0A">
        <w:t>, flood</w:t>
      </w:r>
      <w:r w:rsidR="00A51812">
        <w:t xml:space="preserve">s </w:t>
      </w:r>
      <w:r w:rsidR="00AC1D5C">
        <w:t xml:space="preserve">and other </w:t>
      </w:r>
      <w:r w:rsidR="001F37D2">
        <w:t>ex</w:t>
      </w:r>
      <w:r w:rsidR="00AF08A2">
        <w:t>treme weather risk</w:t>
      </w:r>
      <w:r w:rsidR="008B4399">
        <w:t xml:space="preserve">, </w:t>
      </w:r>
      <w:r w:rsidR="00B879DF">
        <w:t xml:space="preserve">the </w:t>
      </w:r>
      <w:r w:rsidR="003646B0">
        <w:t>Company’s infrastruc</w:t>
      </w:r>
      <w:r w:rsidR="00685707">
        <w:t>ture must not only be reliable</w:t>
      </w:r>
      <w:r w:rsidR="00180003">
        <w:t>, but it must be resilient</w:t>
      </w:r>
      <w:r w:rsidR="00017A1D">
        <w:t xml:space="preserve">.  </w:t>
      </w:r>
      <w:r w:rsidR="00B31728">
        <w:t>That means the in</w:t>
      </w:r>
      <w:r w:rsidR="00E65541">
        <w:t xml:space="preserve">frastructure must take the </w:t>
      </w:r>
      <w:r w:rsidR="00301B40">
        <w:t xml:space="preserve">punch from storms and </w:t>
      </w:r>
      <w:r w:rsidR="00952A75">
        <w:t xml:space="preserve">quickly </w:t>
      </w:r>
      <w:r w:rsidR="00B025EB">
        <w:t xml:space="preserve">return to normal </w:t>
      </w:r>
      <w:r w:rsidR="001A0D14">
        <w:t xml:space="preserve">operations.  </w:t>
      </w:r>
      <w:r w:rsidR="18C3A2E3">
        <w:t xml:space="preserve">  </w:t>
      </w:r>
    </w:p>
    <w:p w14:paraId="03044DC3" w14:textId="77777777" w:rsidR="001418A2" w:rsidRDefault="00705A96" w:rsidP="4B8DF13A">
      <w:pPr>
        <w:spacing w:line="480" w:lineRule="auto"/>
        <w:ind w:right="720" w:firstLine="720"/>
      </w:pPr>
      <w:r>
        <w:t xml:space="preserve">The combination of </w:t>
      </w:r>
      <w:r w:rsidR="00B92471">
        <w:t>rapid</w:t>
      </w:r>
      <w:r w:rsidR="00554CB6">
        <w:t xml:space="preserve"> customer</w:t>
      </w:r>
      <w:r w:rsidR="003471FD">
        <w:t xml:space="preserve"> </w:t>
      </w:r>
      <w:r w:rsidR="008472C2">
        <w:t>grow</w:t>
      </w:r>
      <w:r w:rsidR="00937DAD">
        <w:t>th,</w:t>
      </w:r>
      <w:r w:rsidR="00B92471">
        <w:t xml:space="preserve"> </w:t>
      </w:r>
      <w:r w:rsidR="1D4B740D">
        <w:t xml:space="preserve">load </w:t>
      </w:r>
      <w:r w:rsidR="00B92471">
        <w:t xml:space="preserve">growth </w:t>
      </w:r>
      <w:r w:rsidR="00667ACC">
        <w:t>due to customer</w:t>
      </w:r>
      <w:r w:rsidR="00FA1FBA">
        <w:t xml:space="preserve">-driven </w:t>
      </w:r>
      <w:r w:rsidR="006B7E9B">
        <w:t>electrification and other ac</w:t>
      </w:r>
      <w:r w:rsidR="006E16E0">
        <w:t xml:space="preserve">tivities, </w:t>
      </w:r>
      <w:r w:rsidR="00B92471">
        <w:t>and extreme weather</w:t>
      </w:r>
      <w:r w:rsidR="3E6EFA7C">
        <w:t xml:space="preserve"> risk</w:t>
      </w:r>
      <w:r>
        <w:t xml:space="preserve"> </w:t>
      </w:r>
      <w:r w:rsidR="00A741A1">
        <w:t>demand</w:t>
      </w:r>
      <w:r>
        <w:t>s</w:t>
      </w:r>
      <w:r w:rsidR="00B92471">
        <w:t xml:space="preserve"> </w:t>
      </w:r>
      <w:r w:rsidR="009266A6">
        <w:t xml:space="preserve">continued </w:t>
      </w:r>
      <w:r w:rsidR="00B92471">
        <w:t xml:space="preserve">significant levels of investment in </w:t>
      </w:r>
      <w:r w:rsidR="0011382E">
        <w:t xml:space="preserve">the Company’s </w:t>
      </w:r>
      <w:r w:rsidR="00B92471">
        <w:t xml:space="preserve">transmission and </w:t>
      </w:r>
      <w:r w:rsidR="00B92471">
        <w:lastRenderedPageBreak/>
        <w:t>distribution system</w:t>
      </w:r>
      <w:r w:rsidR="00E07D30">
        <w:t xml:space="preserve">.  </w:t>
      </w:r>
      <w:r w:rsidR="00AA1727">
        <w:t>O</w:t>
      </w:r>
      <w:r w:rsidR="00534B2B">
        <w:t xml:space="preserve">ver the past few decades, </w:t>
      </w:r>
      <w:r w:rsidR="002965E9">
        <w:t xml:space="preserve">that investment has increased </w:t>
      </w:r>
      <w:r w:rsidR="009012A3">
        <w:t>from about</w:t>
      </w:r>
      <w:r w:rsidR="009F0AD4">
        <w:t xml:space="preserve"> $500</w:t>
      </w:r>
      <w:r w:rsidR="00534B2B">
        <w:t xml:space="preserve"> </w:t>
      </w:r>
      <w:r w:rsidR="006131D8">
        <w:t>million per year to over $2 billion per year</w:t>
      </w:r>
      <w:r w:rsidR="00B04B68">
        <w:t xml:space="preserve">.  </w:t>
      </w:r>
      <w:r w:rsidR="00E026A3">
        <w:t xml:space="preserve">And </w:t>
      </w:r>
      <w:r w:rsidR="00C1650E">
        <w:t>the Company project</w:t>
      </w:r>
      <w:r w:rsidR="00C64DAF">
        <w:t>s th</w:t>
      </w:r>
      <w:r w:rsidR="00DF2355">
        <w:t>e level of investment nee</w:t>
      </w:r>
      <w:r w:rsidR="008E16AD">
        <w:t xml:space="preserve">ded will </w:t>
      </w:r>
      <w:r w:rsidR="001418A2">
        <w:t xml:space="preserve">continue to increase.  </w:t>
      </w:r>
    </w:p>
    <w:p w14:paraId="2ABD9F1E" w14:textId="25066D23" w:rsidR="00B373B9" w:rsidRDefault="009C3F50" w:rsidP="4B8DF13A">
      <w:pPr>
        <w:spacing w:line="480" w:lineRule="auto"/>
        <w:ind w:right="720" w:firstLine="720"/>
      </w:pPr>
      <w:r>
        <w:t>B</w:t>
      </w:r>
      <w:r w:rsidR="00705A96">
        <w:t>ut t</w:t>
      </w:r>
      <w:r w:rsidR="00B92471">
        <w:t xml:space="preserve">he regulatory capital structure currently used to design </w:t>
      </w:r>
      <w:r w:rsidR="00A345CA">
        <w:t xml:space="preserve">CenterPoint Houston’s </w:t>
      </w:r>
      <w:r w:rsidR="00B92471">
        <w:t xml:space="preserve">rates </w:t>
      </w:r>
      <w:r w:rsidR="2B49706A">
        <w:t>and meant to compensate the Company for the cost of the capital needed to make investments to benefit customers</w:t>
      </w:r>
      <w:r w:rsidR="5B90ADD8">
        <w:t>,</w:t>
      </w:r>
      <w:r w:rsidR="2B49706A">
        <w:t xml:space="preserve"> </w:t>
      </w:r>
      <w:r w:rsidR="00B92471">
        <w:t xml:space="preserve">will </w:t>
      </w:r>
      <w:r w:rsidR="5513C9D2">
        <w:t xml:space="preserve">impede </w:t>
      </w:r>
      <w:r w:rsidR="00A345CA">
        <w:t xml:space="preserve">the Company’s </w:t>
      </w:r>
      <w:r w:rsidR="00B92471">
        <w:t>ability to</w:t>
      </w:r>
      <w:r w:rsidR="5BB5168F">
        <w:t xml:space="preserve"> </w:t>
      </w:r>
      <w:r w:rsidR="7D528822">
        <w:t>affordably</w:t>
      </w:r>
      <w:r w:rsidR="00B92471">
        <w:t xml:space="preserve"> make these investments</w:t>
      </w:r>
      <w:r w:rsidR="00F71708">
        <w:t>.</w:t>
      </w:r>
      <w:r w:rsidR="152623FD">
        <w:t xml:space="preserve">  </w:t>
      </w:r>
      <w:r w:rsidR="00705A96">
        <w:t xml:space="preserve">That </w:t>
      </w:r>
      <w:r w:rsidR="666731B1">
        <w:t>currently approved</w:t>
      </w:r>
      <w:r w:rsidR="00705A96">
        <w:t xml:space="preserve"> regulatory capital structure </w:t>
      </w:r>
      <w:r w:rsidR="00F87A42">
        <w:t xml:space="preserve">ignores the Company’s </w:t>
      </w:r>
      <w:r w:rsidR="00F87A42" w:rsidRPr="4B8DF13A">
        <w:rPr>
          <w:i/>
          <w:iCs/>
        </w:rPr>
        <w:t xml:space="preserve">actual </w:t>
      </w:r>
      <w:r w:rsidR="00F87A42">
        <w:t xml:space="preserve">capital structure </w:t>
      </w:r>
      <w:r w:rsidR="0027662A">
        <w:t>(</w:t>
      </w:r>
      <w:r w:rsidR="001F26C4">
        <w:t xml:space="preserve">i.e., how the Company </w:t>
      </w:r>
      <w:r w:rsidR="001F26C4" w:rsidRPr="007833CC">
        <w:rPr>
          <w:i/>
        </w:rPr>
        <w:t>actually</w:t>
      </w:r>
      <w:r w:rsidR="001F26C4">
        <w:t xml:space="preserve"> financ</w:t>
      </w:r>
      <w:r w:rsidR="001E63E9">
        <w:t>es projects</w:t>
      </w:r>
      <w:r w:rsidR="00EB3978">
        <w:t>)</w:t>
      </w:r>
      <w:r w:rsidR="00F87A42">
        <w:t xml:space="preserve"> in favor of </w:t>
      </w:r>
      <w:r w:rsidR="004B51D4">
        <w:t>a</w:t>
      </w:r>
      <w:r w:rsidR="5685C6D6">
        <w:t xml:space="preserve"> </w:t>
      </w:r>
      <w:r w:rsidR="5685C6D6" w:rsidRPr="4B8DF13A">
        <w:rPr>
          <w:i/>
          <w:iCs/>
        </w:rPr>
        <w:t>hypothetical</w:t>
      </w:r>
      <w:r w:rsidR="007006D9">
        <w:t xml:space="preserve"> capital structure—a</w:t>
      </w:r>
      <w:r w:rsidR="00E42BEF">
        <w:t xml:space="preserve">n </w:t>
      </w:r>
      <w:r w:rsidR="00F40DC3">
        <w:t>outdated</w:t>
      </w:r>
      <w:r w:rsidR="007006D9">
        <w:t xml:space="preserve"> practice </w:t>
      </w:r>
      <w:r w:rsidR="00E42BEF">
        <w:t xml:space="preserve">from </w:t>
      </w:r>
      <w:r w:rsidR="00A951D5">
        <w:t>the early years of the transition to unbundled utilities in</w:t>
      </w:r>
      <w:r w:rsidR="003C4CF3">
        <w:t xml:space="preserve"> the </w:t>
      </w:r>
      <w:r w:rsidR="00B84A22">
        <w:t>ER</w:t>
      </w:r>
      <w:r w:rsidR="0024479E">
        <w:t>COT</w:t>
      </w:r>
      <w:r w:rsidR="00B201B8">
        <w:t xml:space="preserve"> </w:t>
      </w:r>
      <w:r w:rsidR="001A1DE1">
        <w:t>part of the state</w:t>
      </w:r>
      <w:r w:rsidR="00A951D5">
        <w:t xml:space="preserve">. </w:t>
      </w:r>
      <w:r w:rsidR="10DDEB31">
        <w:t xml:space="preserve"> The impact is that the Company is disallowed recovery of the true cost of each dollar it invests.  </w:t>
      </w:r>
      <w:r w:rsidR="1178726F">
        <w:t>In the context of needing to invest even more dollars to accommodate customer-driven load growth</w:t>
      </w:r>
      <w:r w:rsidR="25E1F329">
        <w:t>,</w:t>
      </w:r>
      <w:r w:rsidR="378B6254">
        <w:t xml:space="preserve"> </w:t>
      </w:r>
      <w:r w:rsidR="1EB5BD8B">
        <w:t>m</w:t>
      </w:r>
      <w:r w:rsidR="008C3755">
        <w:t xml:space="preserve">ore than two decades after </w:t>
      </w:r>
      <w:r w:rsidR="00406C9D">
        <w:t xml:space="preserve">utility unbundling, </w:t>
      </w:r>
      <w:r w:rsidR="5DD91731">
        <w:t xml:space="preserve">the </w:t>
      </w:r>
      <w:r w:rsidR="00406C9D">
        <w:t>practice</w:t>
      </w:r>
      <w:r w:rsidR="020DA1FB">
        <w:t xml:space="preserve"> of using a </w:t>
      </w:r>
      <w:r w:rsidR="020DA1FB" w:rsidRPr="4B8DF13A">
        <w:rPr>
          <w:i/>
          <w:iCs/>
        </w:rPr>
        <w:t xml:space="preserve">hypothetical </w:t>
      </w:r>
      <w:r w:rsidR="020DA1FB">
        <w:t>capital structure</w:t>
      </w:r>
      <w:r w:rsidR="00406C9D">
        <w:t xml:space="preserve"> no longer makes sense</w:t>
      </w:r>
      <w:r w:rsidR="00666555">
        <w:t>.</w:t>
      </w:r>
      <w:r w:rsidR="00600462">
        <w:t xml:space="preserve">  </w:t>
      </w:r>
      <w:r w:rsidR="00F51731" w:rsidRPr="007833CC">
        <w:rPr>
          <w:i/>
        </w:rPr>
        <w:t>H</w:t>
      </w:r>
      <w:r w:rsidR="00267D0D" w:rsidRPr="007833CC">
        <w:rPr>
          <w:i/>
        </w:rPr>
        <w:t>ypothetical</w:t>
      </w:r>
      <w:r w:rsidR="00267D0D">
        <w:t xml:space="preserve"> capit</w:t>
      </w:r>
      <w:r w:rsidR="00495A18">
        <w:t xml:space="preserve">al structures are not </w:t>
      </w:r>
      <w:r w:rsidR="0050423E">
        <w:t xml:space="preserve">routinely </w:t>
      </w:r>
      <w:r w:rsidR="00BE44C4">
        <w:t>used for other Texas uti</w:t>
      </w:r>
      <w:r w:rsidR="007961F3">
        <w:t xml:space="preserve">lities, and </w:t>
      </w:r>
      <w:r w:rsidR="00CC67E3">
        <w:t xml:space="preserve">the Company’s </w:t>
      </w:r>
      <w:r w:rsidR="00CC67E3" w:rsidRPr="007833CC">
        <w:rPr>
          <w:i/>
        </w:rPr>
        <w:t>actual</w:t>
      </w:r>
      <w:r w:rsidR="00CC67E3">
        <w:t xml:space="preserve"> </w:t>
      </w:r>
      <w:r w:rsidR="005C48F6">
        <w:t xml:space="preserve">capital structure </w:t>
      </w:r>
      <w:r w:rsidR="009745A6">
        <w:t>should be used going forw</w:t>
      </w:r>
      <w:r w:rsidR="002A5080">
        <w:t>ard</w:t>
      </w:r>
      <w:r w:rsidR="004C3781">
        <w:t xml:space="preserve"> u</w:t>
      </w:r>
      <w:r w:rsidR="00A06987">
        <w:t>nless it is pr</w:t>
      </w:r>
      <w:r w:rsidR="00CD59F0">
        <w:t>oven unreasonable.</w:t>
      </w:r>
    </w:p>
    <w:p w14:paraId="39B75B38" w14:textId="564C0382" w:rsidR="0069450A" w:rsidRDefault="00FC5DE0" w:rsidP="00B565FF">
      <w:pPr>
        <w:spacing w:line="480" w:lineRule="auto"/>
        <w:ind w:right="720" w:firstLine="720"/>
      </w:pPr>
      <w:r w:rsidRPr="00FC5DE0">
        <w:t xml:space="preserve">CenterPoint Houston understands the importance of affordability to the Commission and customers and has taken actions in managing the business and developing this rate </w:t>
      </w:r>
      <w:r w:rsidR="6930024F">
        <w:t>application</w:t>
      </w:r>
      <w:r w:rsidRPr="00FC5DE0">
        <w:t xml:space="preserve"> so that the Commission may approve the Company’s requested </w:t>
      </w:r>
      <w:r w:rsidRPr="6E041BEC">
        <w:rPr>
          <w:i/>
        </w:rPr>
        <w:t>actual</w:t>
      </w:r>
      <w:r w:rsidRPr="00FC5DE0">
        <w:t xml:space="preserve"> capital structure without adversely impacting rate affordability. </w:t>
      </w:r>
      <w:r w:rsidR="4D327441">
        <w:t>T</w:t>
      </w:r>
      <w:r w:rsidR="69761BD7">
        <w:t>he</w:t>
      </w:r>
      <w:r w:rsidR="00B92471">
        <w:t xml:space="preserve"> added cost of using the Company’s </w:t>
      </w:r>
      <w:r w:rsidR="00B92471" w:rsidRPr="4B8DF13A">
        <w:rPr>
          <w:i/>
          <w:iCs/>
        </w:rPr>
        <w:t xml:space="preserve">actual </w:t>
      </w:r>
      <w:r w:rsidR="00B92471">
        <w:t>capital structure</w:t>
      </w:r>
      <w:r w:rsidR="3BB8C4DF">
        <w:t xml:space="preserve"> in rates</w:t>
      </w:r>
      <w:r w:rsidR="00B92471">
        <w:t xml:space="preserve"> </w:t>
      </w:r>
      <w:r w:rsidR="4B1884B2">
        <w:t>will be</w:t>
      </w:r>
      <w:r w:rsidR="00B92471">
        <w:t xml:space="preserve"> offset by the Company’s </w:t>
      </w:r>
      <w:r w:rsidR="000F6225">
        <w:t xml:space="preserve">reductions in </w:t>
      </w:r>
      <w:r w:rsidR="00B92471">
        <w:t xml:space="preserve">O&amp;M </w:t>
      </w:r>
      <w:r w:rsidR="000F6225">
        <w:t>expense</w:t>
      </w:r>
      <w:r w:rsidR="002327E4">
        <w:t xml:space="preserve">; </w:t>
      </w:r>
      <w:r w:rsidR="00C40448">
        <w:t xml:space="preserve">the </w:t>
      </w:r>
      <w:r w:rsidR="005709A9">
        <w:t xml:space="preserve">expiration </w:t>
      </w:r>
      <w:r w:rsidR="005709A9">
        <w:lastRenderedPageBreak/>
        <w:t xml:space="preserve">of several </w:t>
      </w:r>
      <w:r w:rsidR="000D2377">
        <w:t xml:space="preserve">securitization riders </w:t>
      </w:r>
      <w:r w:rsidR="00CB6053">
        <w:t>in the Company’s rates</w:t>
      </w:r>
      <w:r w:rsidR="002327E4">
        <w:t xml:space="preserve">; </w:t>
      </w:r>
      <w:r w:rsidR="00B92471">
        <w:t>lower debt costs that should result if better credit ratings are achieved</w:t>
      </w:r>
      <w:r w:rsidR="002A2509">
        <w:t xml:space="preserve"> as the result of using a proper, </w:t>
      </w:r>
      <w:r w:rsidR="002A2509" w:rsidRPr="4B8DF13A">
        <w:rPr>
          <w:i/>
          <w:iCs/>
        </w:rPr>
        <w:t xml:space="preserve">actual </w:t>
      </w:r>
      <w:r w:rsidR="002A2509">
        <w:t>capital structure</w:t>
      </w:r>
      <w:r w:rsidR="002327E4">
        <w:t xml:space="preserve">; </w:t>
      </w:r>
      <w:r w:rsidR="67AE1906">
        <w:t>and other downward adjustments to the revenue requirement proposed by the Company in this case</w:t>
      </w:r>
      <w:r w:rsidR="00B92471">
        <w:t xml:space="preserve">.  </w:t>
      </w:r>
      <w:r w:rsidR="00D348CC">
        <w:t>T</w:t>
      </w:r>
      <w:r w:rsidR="00B92471">
        <w:t>he portion of the average residential customer’s electric bill attributable to CenterPoint Houston has remained relatively flat over the past ten years</w:t>
      </w:r>
      <w:r w:rsidR="0009214E">
        <w:t>,</w:t>
      </w:r>
      <w:r w:rsidR="00B92471">
        <w:t xml:space="preserve"> and </w:t>
      </w:r>
      <w:r w:rsidR="001C4B69">
        <w:t>the Company</w:t>
      </w:r>
      <w:r w:rsidR="0D5218A0">
        <w:t>'s proposed rate change in this case</w:t>
      </w:r>
      <w:r w:rsidR="003F6F64">
        <w:t xml:space="preserve"> (about 0.7% for residential customers</w:t>
      </w:r>
      <w:r w:rsidR="34D52CB7">
        <w:t xml:space="preserve"> on a net basis</w:t>
      </w:r>
      <w:r w:rsidR="003F6F64">
        <w:t>)</w:t>
      </w:r>
      <w:r w:rsidR="05A570D1">
        <w:t xml:space="preserve"> </w:t>
      </w:r>
      <w:r w:rsidR="0D5218A0">
        <w:t>is</w:t>
      </w:r>
      <w:r w:rsidR="00B92471">
        <w:t xml:space="preserve"> below the level of</w:t>
      </w:r>
      <w:r w:rsidR="512307B8">
        <w:t xml:space="preserve"> historic</w:t>
      </w:r>
      <w:r w:rsidR="00B92471">
        <w:t xml:space="preserve"> inflation. </w:t>
      </w:r>
      <w:r w:rsidR="00F242AC">
        <w:t>T</w:t>
      </w:r>
      <w:r w:rsidR="00B92471">
        <w:t xml:space="preserve">he Commission in this rate case can </w:t>
      </w:r>
      <w:r w:rsidR="00FF19E2">
        <w:t xml:space="preserve">and should </w:t>
      </w:r>
      <w:r w:rsidR="00B92471">
        <w:t xml:space="preserve">position the Company to address the need for significant new capital investment while maintaining affordable and high-quality electric service for our customers and the communities </w:t>
      </w:r>
      <w:r w:rsidR="006015DF">
        <w:t>Cen</w:t>
      </w:r>
      <w:r w:rsidR="00EC15C5">
        <w:t>terPoint Houston has</w:t>
      </w:r>
      <w:r w:rsidR="00B92471">
        <w:t xml:space="preserve"> the privilege to serve.</w:t>
      </w:r>
    </w:p>
    <w:p w14:paraId="0177AE17" w14:textId="77777777" w:rsidR="00194051" w:rsidRDefault="00194051" w:rsidP="00D93CC6">
      <w:pPr>
        <w:suppressLineNumbers/>
        <w:ind w:right="720"/>
        <w:jc w:val="left"/>
        <w:sectPr w:rsidR="00194051" w:rsidSect="00194051">
          <w:headerReference w:type="default" r:id="rId17"/>
          <w:type w:val="continuous"/>
          <w:pgSz w:w="12240" w:h="15840"/>
          <w:pgMar w:top="1440" w:right="1440" w:bottom="1440" w:left="2160" w:header="720" w:footer="720" w:gutter="0"/>
          <w:lnNumType w:countBy="1"/>
          <w:pgNumType w:start="1"/>
          <w:cols w:space="720"/>
          <w:docGrid w:linePitch="326"/>
        </w:sectPr>
      </w:pPr>
    </w:p>
    <w:p w14:paraId="6AF9FB78" w14:textId="75077243" w:rsidR="00BB6DE2" w:rsidRDefault="00BB6DE2" w:rsidP="00D93CC6">
      <w:pPr>
        <w:pStyle w:val="PCROutline1"/>
        <w:widowControl w:val="0"/>
        <w:numPr>
          <w:ilvl w:val="0"/>
          <w:numId w:val="8"/>
        </w:numPr>
        <w:rPr>
          <w:u w:val="single"/>
        </w:rPr>
      </w:pPr>
      <w:bookmarkStart w:id="2" w:name="_Toc159840212"/>
      <w:r>
        <w:rPr>
          <w:u w:val="single"/>
        </w:rPr>
        <w:lastRenderedPageBreak/>
        <w:t>INTRODUCTION</w:t>
      </w:r>
      <w:bookmarkEnd w:id="0"/>
      <w:bookmarkEnd w:id="1"/>
      <w:bookmarkEnd w:id="2"/>
    </w:p>
    <w:p w14:paraId="13312122" w14:textId="77777777" w:rsidR="00BB6DE2" w:rsidRDefault="00BB6DE2" w:rsidP="00BB6DE2">
      <w:pPr>
        <w:pStyle w:val="PCROutline1"/>
        <w:widowControl w:val="0"/>
        <w:tabs>
          <w:tab w:val="clear" w:pos="3870"/>
        </w:tabs>
        <w:spacing w:after="0" w:line="480" w:lineRule="auto"/>
        <w:ind w:left="720"/>
        <w:jc w:val="both"/>
        <w:outlineLvl w:val="9"/>
        <w:rPr>
          <w:caps/>
        </w:rPr>
      </w:pPr>
      <w:r>
        <w:rPr>
          <w:rStyle w:val="normaltextrun"/>
          <w:caps/>
        </w:rPr>
        <w:t>Q.</w:t>
      </w:r>
      <w:r>
        <w:rPr>
          <w:rStyle w:val="normaltextrun"/>
          <w:b w:val="0"/>
          <w:caps/>
        </w:rPr>
        <w:tab/>
      </w:r>
      <w:r>
        <w:rPr>
          <w:rStyle w:val="normaltextrun"/>
          <w:b w:val="0"/>
          <w:caps/>
        </w:rPr>
        <w:tab/>
      </w:r>
      <w:r>
        <w:rPr>
          <w:rStyle w:val="normaltextrun"/>
          <w:caps/>
        </w:rPr>
        <w:t>PLEASE STATE YOUR NAME AND CURRENT POSITION.</w:t>
      </w:r>
      <w:r>
        <w:rPr>
          <w:rStyle w:val="eop"/>
          <w:b w:val="0"/>
          <w:caps/>
        </w:rPr>
        <w:t> </w:t>
      </w:r>
    </w:p>
    <w:p w14:paraId="5ED0D69D" w14:textId="63BB5D41" w:rsidR="00BB6DE2" w:rsidRPr="00857401" w:rsidRDefault="00BB6DE2" w:rsidP="0004701C">
      <w:pPr>
        <w:spacing w:line="480" w:lineRule="auto"/>
        <w:ind w:left="720" w:hanging="720"/>
        <w:rPr>
          <w:rStyle w:val="eop"/>
          <w:b/>
        </w:rPr>
      </w:pPr>
      <w:r w:rsidRPr="4B8DF13A">
        <w:rPr>
          <w:rStyle w:val="normaltextrun"/>
        </w:rPr>
        <w:t>A.</w:t>
      </w:r>
      <w:r>
        <w:tab/>
      </w:r>
      <w:r w:rsidRPr="4B8DF13A">
        <w:rPr>
          <w:rStyle w:val="normaltextrun"/>
        </w:rPr>
        <w:t xml:space="preserve">My name is Jason </w:t>
      </w:r>
      <w:r w:rsidR="048A691D" w:rsidRPr="4B8DF13A">
        <w:rPr>
          <w:rStyle w:val="normaltextrun"/>
        </w:rPr>
        <w:t xml:space="preserve">M. </w:t>
      </w:r>
      <w:r w:rsidRPr="4B8DF13A">
        <w:rPr>
          <w:rStyle w:val="normaltextrun"/>
        </w:rPr>
        <w:t>Ryan.  I am the Executive Vice President, Regulatory Services and Government Affairs for CenterPoint Energy, Inc. (“CNP”), the parent company of CenterPoint Energy Houston Electric, LLC (“CenterPoint Houston”</w:t>
      </w:r>
      <w:r w:rsidR="00C20683" w:rsidRPr="4B8DF13A">
        <w:rPr>
          <w:rStyle w:val="normaltextrun"/>
        </w:rPr>
        <w:t xml:space="preserve"> or the “Company”</w:t>
      </w:r>
      <w:r w:rsidRPr="4B8DF13A">
        <w:rPr>
          <w:rStyle w:val="normaltextrun"/>
        </w:rPr>
        <w:t>). I am one of the five officers who make up the CNP Executive Committee and, as part of that group, have general corporate oversight responsibilities beyond the direct team that I lead.</w:t>
      </w:r>
      <w:r w:rsidRPr="4B8DF13A">
        <w:rPr>
          <w:rStyle w:val="eop"/>
        </w:rPr>
        <w:t> </w:t>
      </w:r>
      <w:r w:rsidR="01E3847A" w:rsidRPr="4B8DF13A">
        <w:rPr>
          <w:rStyle w:val="eop"/>
        </w:rPr>
        <w:t xml:space="preserve">  In addition to the CenterPoint Houston electric</w:t>
      </w:r>
      <w:r w:rsidR="4E6DA561" w:rsidRPr="4B8DF13A">
        <w:rPr>
          <w:rStyle w:val="eop"/>
        </w:rPr>
        <w:t xml:space="preserve"> </w:t>
      </w:r>
      <w:r w:rsidR="73DE39C4" w:rsidRPr="4B8DF13A">
        <w:rPr>
          <w:rStyle w:val="eop"/>
        </w:rPr>
        <w:t xml:space="preserve">transmission and distribution </w:t>
      </w:r>
      <w:r w:rsidR="01E3847A" w:rsidRPr="4B8DF13A">
        <w:rPr>
          <w:rStyle w:val="eop"/>
        </w:rPr>
        <w:t>utility</w:t>
      </w:r>
      <w:r w:rsidR="4FE6BB04" w:rsidRPr="4B8DF13A">
        <w:rPr>
          <w:rStyle w:val="eop"/>
        </w:rPr>
        <w:t xml:space="preserve"> (“TDU”)</w:t>
      </w:r>
      <w:r w:rsidR="01E3847A" w:rsidRPr="4B8DF13A">
        <w:rPr>
          <w:rStyle w:val="eop"/>
        </w:rPr>
        <w:t xml:space="preserve"> business in the Houston area, CNP </w:t>
      </w:r>
      <w:r w:rsidR="1663FC8D" w:rsidRPr="4B8DF13A">
        <w:rPr>
          <w:rStyle w:val="eop"/>
        </w:rPr>
        <w:t xml:space="preserve">owns and </w:t>
      </w:r>
      <w:r w:rsidR="01E3847A" w:rsidRPr="4B8DF13A">
        <w:rPr>
          <w:rStyle w:val="eop"/>
        </w:rPr>
        <w:t xml:space="preserve">operates an integrated electric utility in Indiana, and gas utilities in Indiana, </w:t>
      </w:r>
      <w:r w:rsidR="762722AC" w:rsidRPr="4B8DF13A">
        <w:rPr>
          <w:rStyle w:val="eop"/>
        </w:rPr>
        <w:t>Louisiana,</w:t>
      </w:r>
      <w:r w:rsidR="01E3847A" w:rsidRPr="4B8DF13A">
        <w:rPr>
          <w:rStyle w:val="eop"/>
        </w:rPr>
        <w:t xml:space="preserve"> Mi</w:t>
      </w:r>
      <w:r w:rsidR="41A7120B" w:rsidRPr="4B8DF13A">
        <w:rPr>
          <w:rStyle w:val="eop"/>
        </w:rPr>
        <w:t>nnesota, Mississippi, Ohio and Texas.</w:t>
      </w:r>
    </w:p>
    <w:p w14:paraId="0CC626E5" w14:textId="67A503DB" w:rsidR="00BB6DE2" w:rsidRPr="0004701C" w:rsidRDefault="00BB6DE2" w:rsidP="008E2ABD">
      <w:pPr>
        <w:spacing w:line="480" w:lineRule="auto"/>
        <w:ind w:left="720" w:hanging="720"/>
        <w:rPr>
          <w:rStyle w:val="eop"/>
          <w:b/>
          <w:bCs/>
          <w:caps/>
        </w:rPr>
      </w:pPr>
      <w:r w:rsidRPr="0004701C">
        <w:rPr>
          <w:rStyle w:val="normaltextrun"/>
          <w:b/>
          <w:bCs/>
          <w:caps/>
        </w:rPr>
        <w:t>Q.</w:t>
      </w:r>
      <w:r w:rsidRPr="0004701C">
        <w:rPr>
          <w:b/>
          <w:bCs/>
        </w:rPr>
        <w:tab/>
      </w:r>
      <w:r w:rsidRPr="0004701C">
        <w:rPr>
          <w:rStyle w:val="normaltextrun"/>
          <w:b/>
          <w:bCs/>
          <w:caps/>
        </w:rPr>
        <w:t>PLEASE SUMMARIZE YOUR educational and work BACKGROUND.</w:t>
      </w:r>
      <w:r w:rsidRPr="0004701C">
        <w:rPr>
          <w:rStyle w:val="eop"/>
          <w:b/>
          <w:bCs/>
          <w:caps/>
        </w:rPr>
        <w:t> </w:t>
      </w:r>
    </w:p>
    <w:p w14:paraId="28CEDB36" w14:textId="555A4751" w:rsidR="00BB6DE2" w:rsidRDefault="00BB6DE2" w:rsidP="0004701C">
      <w:pPr>
        <w:spacing w:line="480" w:lineRule="auto"/>
        <w:ind w:left="720" w:hanging="720"/>
        <w:rPr>
          <w:rStyle w:val="eop"/>
          <w:b/>
          <w:color w:val="881798"/>
        </w:rPr>
      </w:pPr>
      <w:r w:rsidRPr="572F532F">
        <w:rPr>
          <w:rStyle w:val="normaltextrun"/>
        </w:rPr>
        <w:t>A.</w:t>
      </w:r>
      <w:r>
        <w:tab/>
      </w:r>
      <w:r w:rsidRPr="572F532F">
        <w:rPr>
          <w:rStyle w:val="normaltextrun"/>
        </w:rPr>
        <w:t xml:space="preserve">I </w:t>
      </w:r>
      <w:r>
        <w:t xml:space="preserve">graduated with honors in 1998 from </w:t>
      </w:r>
      <w:r w:rsidR="7237D6D9">
        <w:t>T</w:t>
      </w:r>
      <w:r>
        <w:t xml:space="preserve">he University of Texas at Austin with a </w:t>
      </w:r>
      <w:bookmarkStart w:id="3" w:name="_Int_3MxGWtWG"/>
      <w:r w:rsidR="0D8B7651">
        <w:t>bachelor's degree in business administration</w:t>
      </w:r>
      <w:bookmarkEnd w:id="3"/>
      <w:r>
        <w:t xml:space="preserve">. In 2001, I received my law degree with honors from </w:t>
      </w:r>
      <w:r w:rsidR="54D2AEAE">
        <w:t>T</w:t>
      </w:r>
      <w:r>
        <w:t>he University of Texas School of Law. I began my career at CNP in December 2009</w:t>
      </w:r>
      <w:r w:rsidR="4E24F449">
        <w:t>,</w:t>
      </w:r>
      <w:r>
        <w:t xml:space="preserve"> and in January 2022, I was named Executive Vice President, Regulatory Services &amp; Government Affairs following service as </w:t>
      </w:r>
      <w:r w:rsidR="4F0F535F">
        <w:t>CNP’</w:t>
      </w:r>
      <w:r w:rsidR="7FA94671">
        <w:t>s</w:t>
      </w:r>
      <w:r>
        <w:t xml:space="preserve"> general counsel and in other legal leadership positions. Prior to joining CNP, I represented the Company</w:t>
      </w:r>
      <w:r w:rsidR="36B2662B">
        <w:t xml:space="preserve"> and others in the energy industry</w:t>
      </w:r>
      <w:r>
        <w:t xml:space="preserve"> as outside regulatory counsel as the managing partner at energy law firm Ryan Glover LLP and as an energy regulatory attorney at Baker Botts, LLP. In addition to my legal and utility experience, I was commissioned by President </w:t>
      </w:r>
      <w:r w:rsidR="00390DBC">
        <w:t xml:space="preserve">George W. </w:t>
      </w:r>
      <w:r>
        <w:t xml:space="preserve">Bush as an intelligence officer in the Navy and served with a reserve unit from 2005-2015. I was appointed </w:t>
      </w:r>
      <w:r>
        <w:lastRenderedPageBreak/>
        <w:t xml:space="preserve">by Texas Governor </w:t>
      </w:r>
      <w:r w:rsidR="00390DBC">
        <w:t xml:space="preserve">Rick </w:t>
      </w:r>
      <w:r>
        <w:t xml:space="preserve">Perry to the Texas Diabetes Council in 2013 for a term ending in 2019; in 2019, I was reappointed by Texas Governor </w:t>
      </w:r>
      <w:r w:rsidR="00390DBC">
        <w:t xml:space="preserve">Greg </w:t>
      </w:r>
      <w:r>
        <w:t>Abbott for a term ending in 2025.</w:t>
      </w:r>
      <w:r w:rsidRPr="572F532F">
        <w:rPr>
          <w:rStyle w:val="eop"/>
          <w:color w:val="881798"/>
        </w:rPr>
        <w:t> </w:t>
      </w:r>
    </w:p>
    <w:p w14:paraId="22BC6D0D" w14:textId="77777777" w:rsidR="00BB6DE2" w:rsidRDefault="00BB6DE2" w:rsidP="00BB6DE2">
      <w:pPr>
        <w:pStyle w:val="BodyText"/>
        <w:widowControl w:val="0"/>
        <w:rPr>
          <w:b/>
          <w:bCs w:val="0"/>
          <w:szCs w:val="24"/>
        </w:rPr>
      </w:pPr>
      <w:r>
        <w:rPr>
          <w:b/>
          <w:bCs w:val="0"/>
          <w:szCs w:val="24"/>
        </w:rPr>
        <w:t>Q.</w:t>
      </w:r>
      <w:r>
        <w:rPr>
          <w:b/>
          <w:bCs w:val="0"/>
          <w:szCs w:val="24"/>
        </w:rPr>
        <w:tab/>
        <w:t xml:space="preserve">WHAT ARE YOUR CURRENT RESPONSIBILITIES AT CNP? </w:t>
      </w:r>
    </w:p>
    <w:p w14:paraId="31B05BAC" w14:textId="1902B742" w:rsidR="00BB6DE2" w:rsidRDefault="00BB6DE2" w:rsidP="00BB6DE2">
      <w:pPr>
        <w:pStyle w:val="BodyText"/>
        <w:widowControl w:val="0"/>
      </w:pPr>
      <w:r>
        <w:t>A.</w:t>
      </w:r>
      <w:r>
        <w:tab/>
        <w:t xml:space="preserve">In my current role, I report directly to </w:t>
      </w:r>
      <w:r w:rsidR="3E53D673">
        <w:t>CNP</w:t>
      </w:r>
      <w:r w:rsidR="7FA94671">
        <w:t>’s</w:t>
      </w:r>
      <w:r>
        <w:t xml:space="preserve"> Chief Executive Officer and lead </w:t>
      </w:r>
      <w:r w:rsidR="0D2D25EF">
        <w:t>about</w:t>
      </w:r>
      <w:r>
        <w:t xml:space="preserve"> 100 colleagues on the rates and regulatory portfolio management team; the regulatory policy team; the regulatory legal team; and the local, state, and federal government affairs team.  </w:t>
      </w:r>
      <w:r w:rsidR="6E54B872">
        <w:t>These</w:t>
      </w:r>
      <w:r>
        <w:t xml:space="preserve"> teams </w:t>
      </w:r>
      <w:r w:rsidR="68005D3F">
        <w:t>are</w:t>
      </w:r>
      <w:r>
        <w:t xml:space="preserve"> responsible for </w:t>
      </w:r>
      <w:r w:rsidR="0A12EA88">
        <w:t>(1)</w:t>
      </w:r>
      <w:r>
        <w:t xml:space="preserve"> representing our utility businesses</w:t>
      </w:r>
      <w:r w:rsidRPr="4DC1B1CE">
        <w:rPr>
          <w:rFonts w:cs="Times New Roman"/>
        </w:rPr>
        <w:t>—</w:t>
      </w:r>
      <w:r>
        <w:t>including CenterPoint Houston</w:t>
      </w:r>
      <w:r w:rsidRPr="4DC1B1CE">
        <w:rPr>
          <w:rFonts w:cs="Times New Roman"/>
        </w:rPr>
        <w:t>—</w:t>
      </w:r>
      <w:r>
        <w:t xml:space="preserve">in proceedings before the Public Utility Commission of Texas (the “Commission” or “PUC”) and other state and federal agencies and any related appeals in the courts, </w:t>
      </w:r>
      <w:r w:rsidR="00DC4E28">
        <w:t>and (</w:t>
      </w:r>
      <w:r w:rsidR="118AD129">
        <w:t xml:space="preserve">2) </w:t>
      </w:r>
      <w:r>
        <w:t xml:space="preserve">spearheading state and federal legislative initiatives to support the enterprise goals and objectives.  </w:t>
      </w:r>
    </w:p>
    <w:p w14:paraId="55B9A80E" w14:textId="77777777" w:rsidR="00BB6DE2" w:rsidRDefault="00BB6DE2" w:rsidP="00BB6DE2">
      <w:pPr>
        <w:pStyle w:val="BodyText"/>
        <w:widowControl w:val="0"/>
        <w:rPr>
          <w:b/>
          <w:bCs w:val="0"/>
          <w:szCs w:val="24"/>
        </w:rPr>
      </w:pPr>
      <w:r>
        <w:rPr>
          <w:b/>
          <w:bCs w:val="0"/>
          <w:szCs w:val="24"/>
        </w:rPr>
        <w:t>Q.</w:t>
      </w:r>
      <w:r>
        <w:rPr>
          <w:b/>
          <w:bCs w:val="0"/>
          <w:szCs w:val="24"/>
        </w:rPr>
        <w:tab/>
        <w:t>ON WHOSE BEHALF ARE YOU TESTIFYING IN THIS PROCEEDING?</w:t>
      </w:r>
    </w:p>
    <w:p w14:paraId="4E71015E" w14:textId="77777777" w:rsidR="00BB6DE2" w:rsidRDefault="00BB6DE2" w:rsidP="00BB6DE2">
      <w:pPr>
        <w:pStyle w:val="BodyText"/>
        <w:widowControl w:val="0"/>
        <w:rPr>
          <w:b/>
          <w:bCs w:val="0"/>
          <w:szCs w:val="24"/>
        </w:rPr>
      </w:pPr>
      <w:r>
        <w:rPr>
          <w:szCs w:val="24"/>
        </w:rPr>
        <w:t>A.</w:t>
      </w:r>
      <w:r>
        <w:rPr>
          <w:szCs w:val="24"/>
        </w:rPr>
        <w:tab/>
        <w:t>I am testifying on behalf of CenterPoint Houston.</w:t>
      </w:r>
      <w:r>
        <w:rPr>
          <w:b/>
          <w:bCs w:val="0"/>
          <w:szCs w:val="24"/>
        </w:rPr>
        <w:t xml:space="preserve"> </w:t>
      </w:r>
    </w:p>
    <w:p w14:paraId="604E5CA5" w14:textId="77777777" w:rsidR="00BB6DE2" w:rsidRDefault="00BB6DE2" w:rsidP="00BB6DE2">
      <w:pPr>
        <w:pStyle w:val="BodyText"/>
        <w:widowControl w:val="0"/>
        <w:rPr>
          <w:b/>
          <w:bCs w:val="0"/>
          <w:szCs w:val="24"/>
        </w:rPr>
      </w:pPr>
      <w:r>
        <w:rPr>
          <w:b/>
          <w:bCs w:val="0"/>
          <w:szCs w:val="24"/>
        </w:rPr>
        <w:t>Q.</w:t>
      </w:r>
      <w:r>
        <w:rPr>
          <w:b/>
          <w:bCs w:val="0"/>
          <w:szCs w:val="24"/>
        </w:rPr>
        <w:tab/>
        <w:t>HAVE YOU TESTIFIED PREVIOUSLY?</w:t>
      </w:r>
    </w:p>
    <w:p w14:paraId="18AD7132" w14:textId="632200CA" w:rsidR="00BB6DE2" w:rsidRDefault="00BB6DE2" w:rsidP="4306F40D">
      <w:pPr>
        <w:pStyle w:val="BodyText"/>
        <w:widowControl w:val="0"/>
      </w:pPr>
      <w:r>
        <w:t>A.</w:t>
      </w:r>
      <w:r>
        <w:tab/>
        <w:t xml:space="preserve">Yes.  </w:t>
      </w:r>
      <w:r w:rsidR="00E41E96">
        <w:t>I testified</w:t>
      </w:r>
      <w:r w:rsidR="592C5603">
        <w:t xml:space="preserve"> on behalf of our Minnesota gas utility</w:t>
      </w:r>
      <w:r w:rsidR="00E41E96">
        <w:t xml:space="preserve"> before the Minnesota Public Utilities Commission in proceedings in 2021 and 2022 relating to extraordinary gas costs resulting from Winter Storm Uri.  I previously testified </w:t>
      </w:r>
      <w:r w:rsidR="05D44E15">
        <w:t xml:space="preserve">on behalf of our Texas gas utility </w:t>
      </w:r>
      <w:r w:rsidR="00E41E96">
        <w:t>about the reasonableness of rate case expenses before the Railroad Commission of Texas.</w:t>
      </w:r>
    </w:p>
    <w:p w14:paraId="0362F3F4" w14:textId="02026EE1" w:rsidR="00BB6DE2" w:rsidRDefault="00BB6DE2" w:rsidP="4306F40D">
      <w:pPr>
        <w:pStyle w:val="BodyText"/>
        <w:widowControl w:val="0"/>
        <w:ind w:firstLine="0"/>
      </w:pPr>
      <w:r>
        <w:t xml:space="preserve">In addition to testimony before those </w:t>
      </w:r>
      <w:r w:rsidR="42CCEF09">
        <w:t>commissions</w:t>
      </w:r>
      <w:r>
        <w:t xml:space="preserve">, I have testified on behalf of CNP </w:t>
      </w:r>
      <w:r w:rsidR="6F2AC351">
        <w:t>utilities</w:t>
      </w:r>
      <w:r>
        <w:t xml:space="preserve"> before the legislatures of Texas, Indiana</w:t>
      </w:r>
      <w:r w:rsidR="00051F1A">
        <w:t>,</w:t>
      </w:r>
      <w:r>
        <w:t xml:space="preserve"> and Minnesota.  In Texas, I have testified </w:t>
      </w:r>
      <w:r w:rsidR="7BE94BA9">
        <w:t xml:space="preserve">for more than a decade </w:t>
      </w:r>
      <w:r w:rsidR="006F1033">
        <w:t xml:space="preserve">before the relevant committees of the Texas </w:t>
      </w:r>
      <w:r w:rsidR="006F1033">
        <w:lastRenderedPageBreak/>
        <w:t xml:space="preserve">Legislature </w:t>
      </w:r>
      <w:r>
        <w:t>on legislation regarding energy efficiency</w:t>
      </w:r>
      <w:r w:rsidR="00C8179C">
        <w:t xml:space="preserve"> and conservation</w:t>
      </w:r>
      <w:r w:rsidR="009F5084">
        <w:t xml:space="preserve"> (</w:t>
      </w:r>
      <w:r w:rsidR="32191326">
        <w:t xml:space="preserve">including, most recently, </w:t>
      </w:r>
      <w:r w:rsidR="009F5084">
        <w:t>S.B. 1699</w:t>
      </w:r>
      <w:r w:rsidR="00BD65B9">
        <w:rPr>
          <w:rStyle w:val="FootnoteReference"/>
        </w:rPr>
        <w:footnoteReference w:id="2"/>
      </w:r>
      <w:r w:rsidR="00F31AFA">
        <w:t>, H.B. 2263</w:t>
      </w:r>
      <w:r w:rsidR="00A76560">
        <w:rPr>
          <w:rStyle w:val="FootnoteReference"/>
        </w:rPr>
        <w:footnoteReference w:id="3"/>
      </w:r>
      <w:r w:rsidR="1AD37AA7">
        <w:t>)</w:t>
      </w:r>
      <w:r w:rsidR="7FA94671">
        <w:t>,</w:t>
      </w:r>
      <w:r>
        <w:t xml:space="preserve"> capital recovery mechanisms and other ratemaking issues</w:t>
      </w:r>
      <w:r w:rsidR="001C4D3A">
        <w:t xml:space="preserve"> (</w:t>
      </w:r>
      <w:r w:rsidR="2F4D31A2">
        <w:t xml:space="preserve">including, most recently, </w:t>
      </w:r>
      <w:r w:rsidR="001C4D3A">
        <w:t>S.B. 1015</w:t>
      </w:r>
      <w:r w:rsidR="003448CE">
        <w:rPr>
          <w:rStyle w:val="FootnoteReference"/>
        </w:rPr>
        <w:footnoteReference w:id="4"/>
      </w:r>
      <w:r w:rsidR="00EC559C">
        <w:t>, S.B. 1016</w:t>
      </w:r>
      <w:r w:rsidR="000504BB">
        <w:rPr>
          <w:rStyle w:val="FootnoteReference"/>
        </w:rPr>
        <w:footnoteReference w:id="5"/>
      </w:r>
      <w:r w:rsidR="005B4CD3">
        <w:t>, H.B. 1520</w:t>
      </w:r>
      <w:r w:rsidR="00FA0349">
        <w:rPr>
          <w:rStyle w:val="FootnoteReference"/>
        </w:rPr>
        <w:footnoteReference w:id="6"/>
      </w:r>
      <w:r w:rsidR="00EC559C">
        <w:t>)</w:t>
      </w:r>
      <w:r>
        <w:t xml:space="preserve">, </w:t>
      </w:r>
      <w:r w:rsidR="51394D26">
        <w:t xml:space="preserve">and </w:t>
      </w:r>
      <w:r>
        <w:t>transmission project criteria and timelines</w:t>
      </w:r>
      <w:r w:rsidR="001C6FC2">
        <w:t xml:space="preserve"> (</w:t>
      </w:r>
      <w:r w:rsidR="7A6A6F28">
        <w:t xml:space="preserve">including, most recently, </w:t>
      </w:r>
      <w:r w:rsidR="007838DB">
        <w:t>S.B. 1281</w:t>
      </w:r>
      <w:r w:rsidR="00D83FD3">
        <w:rPr>
          <w:rStyle w:val="FootnoteReference"/>
        </w:rPr>
        <w:footnoteReference w:id="7"/>
      </w:r>
      <w:r w:rsidR="007838DB">
        <w:t xml:space="preserve">, </w:t>
      </w:r>
      <w:r w:rsidR="00B00718">
        <w:t>S</w:t>
      </w:r>
      <w:r w:rsidR="001C6FC2">
        <w:t>.B. 1</w:t>
      </w:r>
      <w:r w:rsidR="00B00718">
        <w:t>076</w:t>
      </w:r>
      <w:r w:rsidR="00BE7509">
        <w:rPr>
          <w:rStyle w:val="FootnoteReference"/>
        </w:rPr>
        <w:footnoteReference w:id="8"/>
      </w:r>
      <w:r w:rsidR="001C6FC2">
        <w:t>)</w:t>
      </w:r>
      <w:r w:rsidR="7FA94671">
        <w:t>.</w:t>
      </w:r>
      <w:r w:rsidR="46FDFCB0">
        <w:t xml:space="preserve"> </w:t>
      </w:r>
      <w:r w:rsidR="46FDFCB0" w:rsidRPr="00C94821">
        <w:t xml:space="preserve"> </w:t>
      </w:r>
    </w:p>
    <w:p w14:paraId="39451C8E" w14:textId="15EF6FEB" w:rsidR="00BB6DE2" w:rsidRDefault="4124CAFC" w:rsidP="654578EF">
      <w:pPr>
        <w:pStyle w:val="BodyText"/>
        <w:widowControl w:val="0"/>
        <w:ind w:firstLine="0"/>
        <w:rPr>
          <w:rFonts w:eastAsia="Calibri"/>
        </w:rPr>
      </w:pPr>
      <w:r>
        <w:t xml:space="preserve">I have also appeared before the Commission </w:t>
      </w:r>
      <w:r w:rsidR="7950AC7E">
        <w:t xml:space="preserve">since August 2022 </w:t>
      </w:r>
      <w:r>
        <w:t xml:space="preserve">in my role as Chair of the </w:t>
      </w:r>
      <w:r w:rsidR="13AB3BC3" w:rsidRPr="2819B81E">
        <w:rPr>
          <w:rFonts w:eastAsia="Calibri"/>
        </w:rPr>
        <w:t>Aggregated Distributed Energy Resources (</w:t>
      </w:r>
      <w:r w:rsidR="6ACC27BE" w:rsidRPr="2819B81E">
        <w:rPr>
          <w:rFonts w:eastAsia="Calibri"/>
        </w:rPr>
        <w:t>“</w:t>
      </w:r>
      <w:r w:rsidR="13AB3BC3" w:rsidRPr="2819B81E">
        <w:rPr>
          <w:rFonts w:eastAsia="Calibri"/>
        </w:rPr>
        <w:t>ADER</w:t>
      </w:r>
      <w:r w:rsidR="6ACC27BE" w:rsidRPr="2819B81E">
        <w:rPr>
          <w:rFonts w:eastAsia="Calibri"/>
        </w:rPr>
        <w:t>”</w:t>
      </w:r>
      <w:r w:rsidR="13AB3BC3" w:rsidRPr="2819B81E">
        <w:rPr>
          <w:rFonts w:eastAsia="Calibri"/>
        </w:rPr>
        <w:t>) Task Force</w:t>
      </w:r>
      <w:r w:rsidR="4BD095CD" w:rsidRPr="2819B81E">
        <w:rPr>
          <w:rFonts w:eastAsia="Calibri"/>
        </w:rPr>
        <w:t>.</w:t>
      </w:r>
      <w:r w:rsidRPr="2819B81E">
        <w:rPr>
          <w:rFonts w:eastAsia="Calibri"/>
        </w:rPr>
        <w:t xml:space="preserve"> </w:t>
      </w:r>
      <w:r w:rsidR="4BD095CD" w:rsidRPr="2819B81E">
        <w:rPr>
          <w:rFonts w:eastAsia="Calibri"/>
        </w:rPr>
        <w:t xml:space="preserve"> As reflected in the record in Project</w:t>
      </w:r>
      <w:r w:rsidR="2445FA8B" w:rsidRPr="2819B81E">
        <w:rPr>
          <w:rFonts w:eastAsia="Calibri"/>
        </w:rPr>
        <w:t xml:space="preserve"> </w:t>
      </w:r>
      <w:r w:rsidR="4BD095CD" w:rsidRPr="2819B81E">
        <w:rPr>
          <w:rFonts w:eastAsia="Calibri"/>
        </w:rPr>
        <w:t>No.</w:t>
      </w:r>
      <w:r w:rsidR="0C4781B1" w:rsidRPr="2819B81E">
        <w:rPr>
          <w:rFonts w:eastAsia="Calibri"/>
        </w:rPr>
        <w:t xml:space="preserve"> </w:t>
      </w:r>
      <w:r w:rsidR="4BD095CD" w:rsidRPr="2819B81E">
        <w:rPr>
          <w:rFonts w:eastAsia="Calibri"/>
        </w:rPr>
        <w:t xml:space="preserve">53911, the ADER Task Force </w:t>
      </w:r>
      <w:r w:rsidR="1FD800B3" w:rsidRPr="2819B81E">
        <w:rPr>
          <w:rFonts w:eastAsia="Calibri"/>
        </w:rPr>
        <w:t>includes</w:t>
      </w:r>
      <w:r w:rsidR="4BD095CD" w:rsidRPr="2819B81E">
        <w:rPr>
          <w:rFonts w:eastAsia="Calibri"/>
        </w:rPr>
        <w:t xml:space="preserve"> 20</w:t>
      </w:r>
      <w:r w:rsidR="2445FA8B" w:rsidRPr="2819B81E">
        <w:rPr>
          <w:rFonts w:eastAsia="Calibri"/>
        </w:rPr>
        <w:t xml:space="preserve"> </w:t>
      </w:r>
      <w:r w:rsidR="4BD095CD" w:rsidRPr="2819B81E">
        <w:rPr>
          <w:rFonts w:eastAsia="Calibri"/>
        </w:rPr>
        <w:t xml:space="preserve">stakeholder representatives and </w:t>
      </w:r>
      <w:r w:rsidR="1FD800B3" w:rsidRPr="2819B81E">
        <w:rPr>
          <w:rFonts w:eastAsia="Calibri"/>
        </w:rPr>
        <w:t xml:space="preserve">is </w:t>
      </w:r>
      <w:r w:rsidR="4BD095CD" w:rsidRPr="2819B81E">
        <w:rPr>
          <w:rFonts w:eastAsia="Calibri"/>
        </w:rPr>
        <w:t xml:space="preserve">charged to work with ERCOT and the </w:t>
      </w:r>
      <w:r w:rsidR="7E3A8414" w:rsidRPr="2819B81E">
        <w:rPr>
          <w:rFonts w:eastAsia="Calibri"/>
        </w:rPr>
        <w:t xml:space="preserve">Commission to advance a pilot project for </w:t>
      </w:r>
      <w:r w:rsidR="02861808" w:rsidRPr="2819B81E">
        <w:rPr>
          <w:rFonts w:eastAsia="Calibri"/>
        </w:rPr>
        <w:t>small, distributed</w:t>
      </w:r>
      <w:r w:rsidR="7E3A8414" w:rsidRPr="2819B81E">
        <w:rPr>
          <w:rFonts w:eastAsia="Calibri"/>
        </w:rPr>
        <w:t xml:space="preserve"> generation assets</w:t>
      </w:r>
      <w:r w:rsidR="57477C92" w:rsidRPr="2819B81E">
        <w:rPr>
          <w:rFonts w:eastAsia="Calibri"/>
        </w:rPr>
        <w:t xml:space="preserve"> on the TDU distribution grid</w:t>
      </w:r>
      <w:r w:rsidR="7E3A8414" w:rsidRPr="2819B81E">
        <w:rPr>
          <w:rFonts w:eastAsia="Calibri"/>
        </w:rPr>
        <w:t xml:space="preserve"> to be aggregated and act in concert to provide energy and ancillary services in the ERCOT market.</w:t>
      </w:r>
      <w:r w:rsidR="0129D47D" w:rsidRPr="2819B81E">
        <w:rPr>
          <w:rFonts w:eastAsia="Calibri"/>
        </w:rPr>
        <w:t xml:space="preserve">  Integrating more distributed generation into the </w:t>
      </w:r>
      <w:r w:rsidR="078BB6C5" w:rsidRPr="2819B81E">
        <w:rPr>
          <w:rFonts w:eastAsia="Calibri"/>
        </w:rPr>
        <w:t xml:space="preserve">TDU </w:t>
      </w:r>
      <w:r w:rsidR="0129D47D" w:rsidRPr="2819B81E">
        <w:rPr>
          <w:rFonts w:eastAsia="Calibri"/>
        </w:rPr>
        <w:t xml:space="preserve">distribution grid is one of the many trends </w:t>
      </w:r>
      <w:r w:rsidR="39D399CF" w:rsidRPr="2819B81E">
        <w:rPr>
          <w:rFonts w:eastAsia="Calibri"/>
        </w:rPr>
        <w:t xml:space="preserve">leading </w:t>
      </w:r>
      <w:r w:rsidR="0129D47D" w:rsidRPr="2819B81E">
        <w:rPr>
          <w:rFonts w:eastAsia="Calibri"/>
        </w:rPr>
        <w:t>to changed customer expectations</w:t>
      </w:r>
      <w:r w:rsidR="5EA1AA19" w:rsidRPr="2819B81E">
        <w:rPr>
          <w:rFonts w:eastAsia="Calibri"/>
        </w:rPr>
        <w:t xml:space="preserve"> of our business</w:t>
      </w:r>
      <w:r w:rsidR="6F376081" w:rsidRPr="2819B81E">
        <w:rPr>
          <w:rFonts w:eastAsia="Calibri"/>
        </w:rPr>
        <w:t>; in this case, being able to use the TDU system to sell energy, not just consume it.</w:t>
      </w:r>
    </w:p>
    <w:p w14:paraId="6B9AC848" w14:textId="4904CBA4" w:rsidR="00D75B08" w:rsidRPr="00D75B08" w:rsidRDefault="00D75B08" w:rsidP="00194051">
      <w:pPr>
        <w:keepNext/>
        <w:keepLines/>
        <w:spacing w:line="480" w:lineRule="auto"/>
        <w:ind w:left="720" w:hanging="720"/>
        <w:rPr>
          <w:rFonts w:eastAsia="Calibri" w:cs="Arial"/>
          <w:bCs/>
        </w:rPr>
      </w:pPr>
      <w:r w:rsidRPr="00D75B08">
        <w:rPr>
          <w:rFonts w:eastAsia="Calibri" w:cs="Arial"/>
          <w:b/>
        </w:rPr>
        <w:lastRenderedPageBreak/>
        <w:t>Q.</w:t>
      </w:r>
      <w:r>
        <w:tab/>
      </w:r>
      <w:r w:rsidRPr="00D75B08">
        <w:rPr>
          <w:rFonts w:eastAsia="Calibri" w:cs="Arial"/>
          <w:b/>
        </w:rPr>
        <w:t>WHAT EXHIBITS HAVE YOU INCLUDED WITH YOUR TESTIMONY?</w:t>
      </w:r>
    </w:p>
    <w:p w14:paraId="2C0264DF" w14:textId="0D381FB1" w:rsidR="00D75B08" w:rsidRPr="00D75B08" w:rsidRDefault="00D75B08" w:rsidP="00194051">
      <w:pPr>
        <w:keepNext/>
        <w:keepLines/>
        <w:spacing w:line="480" w:lineRule="auto"/>
        <w:ind w:left="720" w:hanging="720"/>
        <w:rPr>
          <w:rFonts w:eastAsia="Calibri" w:cs="Arial"/>
          <w:bCs/>
        </w:rPr>
      </w:pPr>
      <w:r w:rsidRPr="00D75B08">
        <w:rPr>
          <w:rFonts w:eastAsia="Calibri" w:cs="Arial"/>
          <w:bCs/>
        </w:rPr>
        <w:t>A.</w:t>
      </w:r>
      <w:r>
        <w:tab/>
      </w:r>
      <w:r w:rsidR="00754478">
        <w:rPr>
          <w:rFonts w:eastAsia="Calibri" w:cs="Arial"/>
          <w:bCs/>
        </w:rPr>
        <w:t xml:space="preserve">I </w:t>
      </w:r>
      <w:r w:rsidR="00D95F28">
        <w:rPr>
          <w:rFonts w:eastAsia="Calibri" w:cs="Arial"/>
          <w:bCs/>
        </w:rPr>
        <w:t>sponsor Exhibit</w:t>
      </w:r>
      <w:r w:rsidR="00464C55">
        <w:rPr>
          <w:rFonts w:eastAsia="Calibri" w:cs="Arial"/>
          <w:bCs/>
        </w:rPr>
        <w:t>s</w:t>
      </w:r>
      <w:r w:rsidR="00DB7641">
        <w:rPr>
          <w:rFonts w:eastAsia="Calibri" w:cs="Arial"/>
          <w:bCs/>
        </w:rPr>
        <w:t xml:space="preserve"> JMR-1 through JMR-</w:t>
      </w:r>
      <w:r w:rsidR="00613538" w:rsidRPr="001552DD">
        <w:rPr>
          <w:rFonts w:eastAsia="Calibri" w:cs="Arial"/>
          <w:bCs/>
        </w:rPr>
        <w:t>7</w:t>
      </w:r>
      <w:r w:rsidR="00464C55">
        <w:rPr>
          <w:rFonts w:eastAsia="Calibri" w:cs="Arial"/>
          <w:bCs/>
        </w:rPr>
        <w:t xml:space="preserve"> with my testimony</w:t>
      </w:r>
      <w:r w:rsidR="00D95F28">
        <w:rPr>
          <w:rFonts w:eastAsia="Calibri" w:cs="Arial"/>
          <w:bCs/>
        </w:rPr>
        <w:t xml:space="preserve">. </w:t>
      </w:r>
    </w:p>
    <w:p w14:paraId="04506F5A" w14:textId="59ED5CAF" w:rsidR="007D6287" w:rsidRDefault="007D6287" w:rsidP="00BB6DE2">
      <w:pPr>
        <w:pStyle w:val="BodyText"/>
        <w:widowControl w:val="0"/>
        <w:rPr>
          <w:szCs w:val="24"/>
        </w:rPr>
      </w:pPr>
      <w:r>
        <w:rPr>
          <w:b/>
          <w:bCs w:val="0"/>
          <w:szCs w:val="24"/>
        </w:rPr>
        <w:t>Q.</w:t>
      </w:r>
      <w:r>
        <w:rPr>
          <w:b/>
          <w:bCs w:val="0"/>
          <w:szCs w:val="24"/>
        </w:rPr>
        <w:tab/>
        <w:t>WAS YOUR TESTIMONY PREPARED BY YOU OR BY OTHERS WORKING UNDER YOUR DIRECTION AND CONTROL?</w:t>
      </w:r>
    </w:p>
    <w:p w14:paraId="020995D2" w14:textId="18F36D81" w:rsidR="007D6287" w:rsidRPr="007D6287" w:rsidRDefault="007D6287" w:rsidP="00BB6DE2">
      <w:pPr>
        <w:pStyle w:val="BodyText"/>
        <w:widowControl w:val="0"/>
        <w:rPr>
          <w:szCs w:val="24"/>
        </w:rPr>
      </w:pPr>
      <w:r>
        <w:rPr>
          <w:szCs w:val="24"/>
        </w:rPr>
        <w:t>A.</w:t>
      </w:r>
      <w:r>
        <w:rPr>
          <w:szCs w:val="24"/>
        </w:rPr>
        <w:tab/>
        <w:t xml:space="preserve">Yes. </w:t>
      </w:r>
    </w:p>
    <w:p w14:paraId="65AEDEEB" w14:textId="112B680C" w:rsidR="00BB6DE2" w:rsidRDefault="00BB6DE2" w:rsidP="00D93CC6">
      <w:pPr>
        <w:pStyle w:val="PCROutline1"/>
        <w:widowControl w:val="0"/>
        <w:numPr>
          <w:ilvl w:val="0"/>
          <w:numId w:val="8"/>
        </w:numPr>
      </w:pPr>
      <w:bookmarkStart w:id="4" w:name="_Toc446073683"/>
      <w:bookmarkStart w:id="5" w:name="_Toc478477913"/>
      <w:bookmarkStart w:id="6" w:name="_Toc159840213"/>
      <w:r>
        <w:t>OVERVIEW OF TESTIMONY</w:t>
      </w:r>
      <w:bookmarkEnd w:id="4"/>
      <w:bookmarkEnd w:id="5"/>
      <w:bookmarkEnd w:id="6"/>
    </w:p>
    <w:p w14:paraId="00AAC85F" w14:textId="77777777" w:rsidR="00BB6DE2" w:rsidRDefault="00BB6DE2" w:rsidP="00BB6DE2">
      <w:pPr>
        <w:pStyle w:val="BodyText"/>
        <w:widowControl w:val="0"/>
        <w:rPr>
          <w:szCs w:val="24"/>
        </w:rPr>
      </w:pPr>
      <w:r>
        <w:rPr>
          <w:b/>
          <w:bCs w:val="0"/>
          <w:szCs w:val="24"/>
        </w:rPr>
        <w:t>Q.</w:t>
      </w:r>
      <w:r>
        <w:tab/>
      </w:r>
      <w:r>
        <w:rPr>
          <w:b/>
          <w:bCs w:val="0"/>
          <w:szCs w:val="24"/>
        </w:rPr>
        <w:t>WHAT IS THE PURPOSE OF YOUR TESTIMONY?</w:t>
      </w:r>
    </w:p>
    <w:p w14:paraId="2DD979BB" w14:textId="6701AEFA" w:rsidR="00BB6DE2" w:rsidRDefault="00DA1A16" w:rsidP="5388A6E1">
      <w:pPr>
        <w:pStyle w:val="BodyText"/>
        <w:widowControl w:val="0"/>
      </w:pPr>
      <w:r>
        <w:t>A.</w:t>
      </w:r>
      <w:r>
        <w:tab/>
      </w:r>
      <w:r w:rsidR="604E0DFF">
        <w:t>First, m</w:t>
      </w:r>
      <w:r w:rsidR="00142CF7">
        <w:t>y testimony describes</w:t>
      </w:r>
      <w:r w:rsidR="437A7C15">
        <w:t xml:space="preserve"> </w:t>
      </w:r>
      <w:r w:rsidR="18F94F85">
        <w:t>recent</w:t>
      </w:r>
      <w:r w:rsidR="2DCB034F">
        <w:t xml:space="preserve"> population</w:t>
      </w:r>
      <w:r w:rsidR="3C13ABB4">
        <w:t xml:space="preserve"> and load growth</w:t>
      </w:r>
      <w:r w:rsidR="2DCB034F">
        <w:t xml:space="preserve"> trends</w:t>
      </w:r>
      <w:r w:rsidR="447E164B">
        <w:t>,</w:t>
      </w:r>
      <w:r w:rsidR="1A4624EC">
        <w:t xml:space="preserve"> </w:t>
      </w:r>
      <w:r w:rsidR="2A1202B1">
        <w:t xml:space="preserve">as well as </w:t>
      </w:r>
      <w:r w:rsidR="756050DE">
        <w:t>weather risk trends</w:t>
      </w:r>
      <w:r w:rsidR="0333599A">
        <w:t xml:space="preserve"> (predominantly, high wind and flooding)</w:t>
      </w:r>
      <w:r w:rsidR="765F3D5F">
        <w:t>,</w:t>
      </w:r>
      <w:r w:rsidR="00142CF7">
        <w:t xml:space="preserve"> in and around the Houston </w:t>
      </w:r>
      <w:r w:rsidR="3ADE44AB">
        <w:t xml:space="preserve">metropolitan </w:t>
      </w:r>
      <w:r w:rsidR="00142CF7">
        <w:t>area</w:t>
      </w:r>
      <w:r w:rsidR="754135B6">
        <w:t>,</w:t>
      </w:r>
      <w:r w:rsidR="00142CF7">
        <w:t xml:space="preserve"> </w:t>
      </w:r>
      <w:r w:rsidR="0E56A03B">
        <w:t xml:space="preserve">how those trends are requiring </w:t>
      </w:r>
      <w:r w:rsidR="1BE7156E">
        <w:t xml:space="preserve">significant </w:t>
      </w:r>
      <w:r w:rsidR="00D75B08">
        <w:t xml:space="preserve">levels of investment in our </w:t>
      </w:r>
      <w:r w:rsidR="21342884">
        <w:t>TDU</w:t>
      </w:r>
      <w:r w:rsidR="00D75B08">
        <w:t xml:space="preserve"> system</w:t>
      </w:r>
      <w:r w:rsidR="16805B90">
        <w:t xml:space="preserve">, and how that is expected to continue into the </w:t>
      </w:r>
      <w:r w:rsidR="72F2F632">
        <w:t>next few decades</w:t>
      </w:r>
      <w:r w:rsidR="00D75B08">
        <w:t xml:space="preserve">. </w:t>
      </w:r>
    </w:p>
    <w:p w14:paraId="53A832D1" w14:textId="56ECD704" w:rsidR="00BB6DE2" w:rsidRDefault="48EE1453" w:rsidP="45223E9B">
      <w:pPr>
        <w:widowControl w:val="0"/>
        <w:tabs>
          <w:tab w:val="right" w:leader="dot" w:pos="8640"/>
        </w:tabs>
        <w:spacing w:line="480" w:lineRule="auto"/>
        <w:ind w:left="720"/>
      </w:pPr>
      <w:r>
        <w:t>Second,</w:t>
      </w:r>
      <w:r w:rsidR="1E050EFC">
        <w:t xml:space="preserve"> </w:t>
      </w:r>
      <w:r w:rsidR="18618707">
        <w:t xml:space="preserve">I </w:t>
      </w:r>
      <w:r w:rsidR="1E050EFC">
        <w:t xml:space="preserve">highlight the </w:t>
      </w:r>
      <w:r w:rsidR="2EF3CC80">
        <w:t xml:space="preserve">need </w:t>
      </w:r>
      <w:r w:rsidR="5570FDB5">
        <w:t>for the</w:t>
      </w:r>
      <w:r w:rsidR="1E050EFC">
        <w:t xml:space="preserve"> Commission </w:t>
      </w:r>
      <w:r w:rsidR="0E535552">
        <w:t xml:space="preserve">to evolve its regulation of </w:t>
      </w:r>
      <w:r w:rsidR="1E050EFC">
        <w:t xml:space="preserve">Texas </w:t>
      </w:r>
      <w:r w:rsidR="11A58DA7">
        <w:t>TDUs</w:t>
      </w:r>
      <w:r w:rsidR="1E050EFC">
        <w:t xml:space="preserve"> </w:t>
      </w:r>
      <w:r w:rsidR="236789E1">
        <w:t xml:space="preserve">and </w:t>
      </w:r>
      <w:r w:rsidR="67336648">
        <w:t xml:space="preserve">return to the use of their </w:t>
      </w:r>
      <w:r w:rsidR="1E050EFC" w:rsidRPr="4B8DF13A">
        <w:rPr>
          <w:i/>
          <w:iCs/>
        </w:rPr>
        <w:t xml:space="preserve">actual </w:t>
      </w:r>
      <w:r w:rsidR="1E050EFC">
        <w:t>capital structures</w:t>
      </w:r>
      <w:r w:rsidR="2FE81247">
        <w:t xml:space="preserve"> in setting rates</w:t>
      </w:r>
      <w:r w:rsidR="127B1CF1">
        <w:t>,</w:t>
      </w:r>
      <w:r w:rsidR="1E050EFC">
        <w:t xml:space="preserve"> in</w:t>
      </w:r>
      <w:r w:rsidR="127B1CF1">
        <w:t xml:space="preserve">stead of </w:t>
      </w:r>
      <w:r w:rsidR="1E050EFC" w:rsidRPr="4B8DF13A">
        <w:rPr>
          <w:i/>
          <w:iCs/>
        </w:rPr>
        <w:t xml:space="preserve">hypothetical </w:t>
      </w:r>
      <w:r w:rsidR="506FDE51">
        <w:t>one</w:t>
      </w:r>
      <w:r w:rsidR="71383BC7">
        <w:t xml:space="preserve">s that became common </w:t>
      </w:r>
      <w:r w:rsidR="04B3FDA8">
        <w:t xml:space="preserve">after unbundling in 2001, </w:t>
      </w:r>
      <w:r w:rsidR="71383BC7">
        <w:t xml:space="preserve">when TDUs </w:t>
      </w:r>
      <w:r w:rsidR="2A033642">
        <w:t xml:space="preserve">were first formed and </w:t>
      </w:r>
      <w:r w:rsidR="71383BC7">
        <w:t>initially had no actual capital structure history to consider</w:t>
      </w:r>
      <w:r w:rsidR="00E72F14">
        <w:t xml:space="preserve">. </w:t>
      </w:r>
      <w:r w:rsidR="00CC3B1C">
        <w:t xml:space="preserve"> A return to the well-established practice of using</w:t>
      </w:r>
      <w:r w:rsidR="00A83E03">
        <w:t xml:space="preserve"> CenterPoint Houston’s</w:t>
      </w:r>
      <w:r w:rsidR="00CC3B1C">
        <w:t xml:space="preserve"> </w:t>
      </w:r>
      <w:r w:rsidR="00CC3B1C" w:rsidRPr="4B8DF13A">
        <w:rPr>
          <w:i/>
          <w:iCs/>
        </w:rPr>
        <w:t>actual</w:t>
      </w:r>
      <w:r w:rsidR="00A83E03">
        <w:t xml:space="preserve"> capital structure </w:t>
      </w:r>
      <w:r w:rsidR="00860578">
        <w:t xml:space="preserve">rather than a </w:t>
      </w:r>
      <w:r w:rsidR="00CC3B1C" w:rsidRPr="4B8DF13A">
        <w:rPr>
          <w:i/>
          <w:iCs/>
        </w:rPr>
        <w:t>hypothetical</w:t>
      </w:r>
      <w:r w:rsidR="00CC3B1C">
        <w:t xml:space="preserve"> </w:t>
      </w:r>
      <w:r w:rsidR="00860578">
        <w:t>one</w:t>
      </w:r>
      <w:r w:rsidR="00CC3B1C">
        <w:t xml:space="preserve"> is </w:t>
      </w:r>
      <w:r w:rsidR="00860578">
        <w:t>critical</w:t>
      </w:r>
      <w:r w:rsidR="31042691">
        <w:t xml:space="preserve">, </w:t>
      </w:r>
      <w:r w:rsidR="3B5688CC">
        <w:t xml:space="preserve">so </w:t>
      </w:r>
      <w:r w:rsidR="00860578">
        <w:t xml:space="preserve">the Company </w:t>
      </w:r>
      <w:r w:rsidR="3B5688CC">
        <w:t>can</w:t>
      </w:r>
      <w:r w:rsidR="31042691">
        <w:t xml:space="preserve"> affordably make </w:t>
      </w:r>
      <w:r w:rsidR="055E41BC">
        <w:t xml:space="preserve">the needed </w:t>
      </w:r>
      <w:r w:rsidR="31042691">
        <w:t>investments</w:t>
      </w:r>
      <w:r w:rsidR="51AB0C8B">
        <w:t xml:space="preserve"> for the customers we have the privilege to serve</w:t>
      </w:r>
      <w:r w:rsidR="1E050EFC">
        <w:t xml:space="preserve">.  </w:t>
      </w:r>
    </w:p>
    <w:p w14:paraId="1A744163" w14:textId="4D55E3C1" w:rsidR="00BB6DE2" w:rsidRDefault="668FA4F2" w:rsidP="2D3AD704">
      <w:pPr>
        <w:widowControl w:val="0"/>
        <w:tabs>
          <w:tab w:val="right" w:leader="dot" w:pos="8640"/>
        </w:tabs>
        <w:spacing w:line="480" w:lineRule="auto"/>
        <w:ind w:left="720"/>
      </w:pPr>
      <w:r>
        <w:t xml:space="preserve">Third, I </w:t>
      </w:r>
      <w:r w:rsidR="300C05E7">
        <w:t>describe</w:t>
      </w:r>
      <w:r w:rsidR="005C0E02">
        <w:t xml:space="preserve"> </w:t>
      </w:r>
      <w:r w:rsidR="004A10C7">
        <w:t xml:space="preserve">how the portion of the average </w:t>
      </w:r>
      <w:r w:rsidR="00DE14F8">
        <w:t xml:space="preserve">residential </w:t>
      </w:r>
      <w:r w:rsidR="004A10C7">
        <w:t xml:space="preserve">customer’s electric bill attributable to CenterPoint Houston has remained relatively flat over the past </w:t>
      </w:r>
      <w:r w:rsidR="6BD000C6">
        <w:t>decade</w:t>
      </w:r>
      <w:r w:rsidR="5231EF85">
        <w:t>,</w:t>
      </w:r>
      <w:r w:rsidR="24F74CE1">
        <w:t xml:space="preserve"> </w:t>
      </w:r>
      <w:r w:rsidR="3BC5327C">
        <w:t>despite significant growth in capital expenditures,</w:t>
      </w:r>
      <w:r w:rsidR="24F74CE1">
        <w:t xml:space="preserve"> and</w:t>
      </w:r>
      <w:r w:rsidR="00D75B08">
        <w:t xml:space="preserve"> </w:t>
      </w:r>
      <w:r w:rsidR="161EDF22">
        <w:t xml:space="preserve">how </w:t>
      </w:r>
      <w:r w:rsidR="24F74CE1">
        <w:t>customer growth,</w:t>
      </w:r>
      <w:r w:rsidR="3C6F4632">
        <w:t xml:space="preserve"> the expiration of various securitization riders, and yearly reductions in O&amp;M expenses</w:t>
      </w:r>
      <w:r w:rsidR="79132C6E">
        <w:t xml:space="preserve"> </w:t>
      </w:r>
      <w:r w:rsidR="008100CA">
        <w:t>are</w:t>
      </w:r>
      <w:r w:rsidR="1E70D5FF">
        <w:t xml:space="preserve"> expected to </w:t>
      </w:r>
      <w:r w:rsidR="79132C6E">
        <w:t xml:space="preserve">continue to keep rate increases below the level of </w:t>
      </w:r>
      <w:r w:rsidR="79132C6E">
        <w:lastRenderedPageBreak/>
        <w:t>inflation</w:t>
      </w:r>
      <w:r w:rsidR="19269C02">
        <w:t xml:space="preserve">, even when reflecting the Company’s </w:t>
      </w:r>
      <w:r w:rsidR="19269C02" w:rsidRPr="2D3AD704">
        <w:rPr>
          <w:i/>
          <w:iCs/>
        </w:rPr>
        <w:t xml:space="preserve">actual </w:t>
      </w:r>
      <w:r w:rsidR="19269C02">
        <w:t>capital structure</w:t>
      </w:r>
      <w:r w:rsidR="7A99691A">
        <w:t>.</w:t>
      </w:r>
      <w:r w:rsidR="38021BEA">
        <w:t xml:space="preserve"> </w:t>
      </w:r>
    </w:p>
    <w:p w14:paraId="7242FCA8" w14:textId="2FD35EA2" w:rsidR="0015119C" w:rsidRPr="0015119C" w:rsidRDefault="00EA3C7E" w:rsidP="00D93CC6">
      <w:pPr>
        <w:pStyle w:val="PCROutline1"/>
        <w:widowControl w:val="0"/>
        <w:numPr>
          <w:ilvl w:val="0"/>
          <w:numId w:val="8"/>
        </w:numPr>
        <w:tabs>
          <w:tab w:val="clear" w:pos="432"/>
          <w:tab w:val="left" w:pos="630"/>
        </w:tabs>
        <w:rPr>
          <w:u w:val="single"/>
        </w:rPr>
      </w:pPr>
      <w:bookmarkStart w:id="7" w:name="_Toc159840214"/>
      <w:r>
        <w:rPr>
          <w:u w:val="single"/>
        </w:rPr>
        <w:t xml:space="preserve">GROWING IN THE PATH OF </w:t>
      </w:r>
      <w:r w:rsidRPr="1CCFF1E7">
        <w:rPr>
          <w:u w:val="single"/>
        </w:rPr>
        <w:t>STORM</w:t>
      </w:r>
      <w:r w:rsidR="65E506A2" w:rsidRPr="1CCFF1E7">
        <w:rPr>
          <w:u w:val="single"/>
        </w:rPr>
        <w:t>S</w:t>
      </w:r>
      <w:bookmarkEnd w:id="7"/>
    </w:p>
    <w:p w14:paraId="0D88467D" w14:textId="4E5ACF4A" w:rsidR="004051A4" w:rsidRDefault="004051A4" w:rsidP="4B8DF13A">
      <w:pPr>
        <w:pStyle w:val="BodyText"/>
        <w:widowControl w:val="0"/>
        <w:tabs>
          <w:tab w:val="left" w:pos="720"/>
        </w:tabs>
        <w:rPr>
          <w:b/>
        </w:rPr>
      </w:pPr>
      <w:bookmarkStart w:id="8" w:name="_Toc156634813"/>
      <w:r w:rsidRPr="4B8DF13A">
        <w:rPr>
          <w:b/>
        </w:rPr>
        <w:t>Q.</w:t>
      </w:r>
      <w:r>
        <w:tab/>
      </w:r>
      <w:r w:rsidR="006B3E09" w:rsidRPr="4B8DF13A">
        <w:rPr>
          <w:b/>
        </w:rPr>
        <w:t>PLEASE DESCRIBE</w:t>
      </w:r>
      <w:r w:rsidRPr="4B8DF13A">
        <w:rPr>
          <w:b/>
        </w:rPr>
        <w:t xml:space="preserve"> THE COMPANY’S SERVICE AREA AND </w:t>
      </w:r>
      <w:bookmarkEnd w:id="8"/>
      <w:r w:rsidR="7F26F6E8" w:rsidRPr="4B8DF13A">
        <w:rPr>
          <w:b/>
        </w:rPr>
        <w:t>CUSTOMER</w:t>
      </w:r>
      <w:r w:rsidR="2F03FE3B" w:rsidRPr="4B8DF13A">
        <w:rPr>
          <w:b/>
        </w:rPr>
        <w:t>S</w:t>
      </w:r>
      <w:r w:rsidR="7CCC8A11" w:rsidRPr="4B8DF13A">
        <w:rPr>
          <w:b/>
        </w:rPr>
        <w:t>.</w:t>
      </w:r>
    </w:p>
    <w:p w14:paraId="4004F0D1" w14:textId="7E31299E" w:rsidR="004051A4" w:rsidRDefault="004051A4" w:rsidP="0A3545C5">
      <w:pPr>
        <w:spacing w:line="480" w:lineRule="auto"/>
        <w:ind w:left="720" w:hanging="720"/>
        <w:rPr>
          <w:b/>
          <w:bCs/>
        </w:rPr>
      </w:pPr>
      <w:bookmarkStart w:id="9" w:name="_Toc156634814"/>
      <w:r>
        <w:t>A.</w:t>
      </w:r>
      <w:r>
        <w:tab/>
      </w:r>
      <w:r w:rsidR="0081430A">
        <w:t>CenterPoint Houston has</w:t>
      </w:r>
      <w:r>
        <w:t xml:space="preserve"> a uniquely compact and dense service area</w:t>
      </w:r>
      <w:r w:rsidR="02FCF7FF">
        <w:t xml:space="preserve"> serving approximately 2.8 million homes and businesses</w:t>
      </w:r>
      <w:r>
        <w:t xml:space="preserve">.  </w:t>
      </w:r>
      <w:r w:rsidR="45FA833C">
        <w:t xml:space="preserve">The service </w:t>
      </w:r>
      <w:r w:rsidR="46216E8F">
        <w:t xml:space="preserve">area </w:t>
      </w:r>
      <w:r w:rsidR="4C1480DC">
        <w:t>covers approximately 5,000 square miles</w:t>
      </w:r>
      <w:r w:rsidR="789DCD65">
        <w:t xml:space="preserve"> in the Greater Houston </w:t>
      </w:r>
      <w:r w:rsidR="4EDD194C">
        <w:t>region</w:t>
      </w:r>
      <w:r w:rsidR="0327B6BC">
        <w:t xml:space="preserve">, including portions or all of </w:t>
      </w:r>
      <w:r w:rsidR="397454E1">
        <w:t xml:space="preserve">Brazoria, </w:t>
      </w:r>
      <w:r w:rsidR="0327B6BC">
        <w:t xml:space="preserve">Chambers, Galveston, Fort Bend, Harris, </w:t>
      </w:r>
      <w:r w:rsidR="4D24EC08">
        <w:t xml:space="preserve">Liberty, </w:t>
      </w:r>
      <w:r w:rsidR="640A52B5">
        <w:t>Montgomery</w:t>
      </w:r>
      <w:r w:rsidR="00C13093">
        <w:t>,</w:t>
      </w:r>
      <w:r w:rsidR="640A52B5">
        <w:t xml:space="preserve"> </w:t>
      </w:r>
      <w:r w:rsidR="46B448C3">
        <w:t>Waller</w:t>
      </w:r>
      <w:r w:rsidR="005D1589">
        <w:t>,</w:t>
      </w:r>
      <w:r w:rsidR="640A52B5">
        <w:t xml:space="preserve"> </w:t>
      </w:r>
      <w:r w:rsidR="0327B6BC">
        <w:t>and Wharton Counties</w:t>
      </w:r>
      <w:r w:rsidR="4EDD194C">
        <w:t>.</w:t>
      </w:r>
      <w:r>
        <w:t xml:space="preserve">  While the Company’s service area is only about 2% of the geographic area of Texas, the </w:t>
      </w:r>
      <w:r w:rsidR="00DF0215">
        <w:t>customers in</w:t>
      </w:r>
      <w:r>
        <w:t xml:space="preserve"> the Company’s service area account for approximately 25% of </w:t>
      </w:r>
      <w:r w:rsidR="0012367A">
        <w:t xml:space="preserve">the </w:t>
      </w:r>
      <w:r>
        <w:t>total load</w:t>
      </w:r>
      <w:r w:rsidR="0012367A">
        <w:t xml:space="preserve"> in the ERCOT power region</w:t>
      </w:r>
      <w:r>
        <w:t>.</w:t>
      </w:r>
      <w:r w:rsidR="2D06519E">
        <w:t xml:space="preserve">  Because there is not sufficient generation in the Houston area to power the growing </w:t>
      </w:r>
      <w:r w:rsidR="00586537">
        <w:t>region</w:t>
      </w:r>
      <w:r w:rsidR="2D06519E">
        <w:t xml:space="preserve">, during many parts of the year, we import the majority of the power </w:t>
      </w:r>
      <w:r w:rsidR="307277C6">
        <w:t xml:space="preserve">from other parts of ERCOT </w:t>
      </w:r>
      <w:r w:rsidR="2D06519E">
        <w:t>to ser</w:t>
      </w:r>
      <w:r w:rsidR="426C08FE">
        <w:t xml:space="preserve">ve </w:t>
      </w:r>
      <w:r w:rsidR="3B677CAA">
        <w:t xml:space="preserve">our </w:t>
      </w:r>
      <w:r w:rsidR="00133F4F">
        <w:t>customers</w:t>
      </w:r>
      <w:r w:rsidR="426C08FE">
        <w:t>.</w:t>
      </w:r>
      <w:bookmarkEnd w:id="9"/>
    </w:p>
    <w:p w14:paraId="1A38DB29" w14:textId="544A4959" w:rsidR="00721201" w:rsidRDefault="00721201" w:rsidP="4B8DF13A">
      <w:pPr>
        <w:spacing w:line="480" w:lineRule="auto"/>
        <w:ind w:left="720"/>
        <w:rPr>
          <w:b/>
          <w:bCs/>
        </w:rPr>
      </w:pPr>
      <w:bookmarkStart w:id="10" w:name="_Toc156634816"/>
      <w:r>
        <w:t>O</w:t>
      </w:r>
      <w:r w:rsidR="448E7AA0">
        <w:t xml:space="preserve">ur </w:t>
      </w:r>
      <w:r w:rsidR="047AA84C">
        <w:t>service area includes</w:t>
      </w:r>
      <w:r w:rsidR="004051A4">
        <w:t xml:space="preserve"> the city of Houston</w:t>
      </w:r>
      <w:r w:rsidR="2A78143F">
        <w:t xml:space="preserve">, which </w:t>
      </w:r>
      <w:r w:rsidR="004051A4">
        <w:t>is the largest city in the state, and the Greater Houston area</w:t>
      </w:r>
      <w:r>
        <w:t>, which</w:t>
      </w:r>
      <w:r w:rsidR="004051A4">
        <w:t xml:space="preserve"> is the </w:t>
      </w:r>
      <w:r w:rsidR="001676A7">
        <w:t xml:space="preserve">fifth </w:t>
      </w:r>
      <w:r w:rsidR="004051A4">
        <w:t>largest metropolitan area in the country.</w:t>
      </w:r>
    </w:p>
    <w:p w14:paraId="02409906" w14:textId="3E6CB915" w:rsidR="004051A4" w:rsidRDefault="00456E94" w:rsidP="4B8DF13A">
      <w:pPr>
        <w:spacing w:line="480" w:lineRule="auto"/>
        <w:ind w:left="720"/>
        <w:rPr>
          <w:b/>
          <w:bCs/>
        </w:rPr>
      </w:pPr>
      <w:r>
        <w:t>T</w:t>
      </w:r>
      <w:r w:rsidR="004051A4">
        <w:t xml:space="preserve">he Company anticipates that the population of the </w:t>
      </w:r>
      <w:r w:rsidR="001676A7">
        <w:t xml:space="preserve">City of </w:t>
      </w:r>
      <w:r w:rsidR="004051A4">
        <w:t xml:space="preserve">Houston will </w:t>
      </w:r>
      <w:r w:rsidR="00872A47">
        <w:t>soon</w:t>
      </w:r>
      <w:r w:rsidR="004051A4">
        <w:t xml:space="preserve"> surpass Chicago and become the third largest </w:t>
      </w:r>
      <w:r w:rsidR="00043545">
        <w:t>city</w:t>
      </w:r>
      <w:r w:rsidR="004051A4">
        <w:t xml:space="preserve"> in the country.  </w:t>
      </w:r>
      <w:r w:rsidR="15233A00">
        <w:t>This</w:t>
      </w:r>
      <w:r w:rsidR="004051A4">
        <w:t xml:space="preserve"> large </w:t>
      </w:r>
      <w:r w:rsidR="4229DE64">
        <w:t xml:space="preserve">and growing </w:t>
      </w:r>
      <w:r w:rsidR="004051A4">
        <w:t xml:space="preserve">population </w:t>
      </w:r>
      <w:r w:rsidR="07041002">
        <w:t>requires</w:t>
      </w:r>
      <w:r w:rsidR="004051A4">
        <w:t xml:space="preserve"> the Company </w:t>
      </w:r>
      <w:r w:rsidR="6766C36A">
        <w:t xml:space="preserve">to </w:t>
      </w:r>
      <w:r w:rsidR="00007F78">
        <w:t>serve</w:t>
      </w:r>
      <w:r w:rsidR="004051A4">
        <w:t xml:space="preserve"> </w:t>
      </w:r>
      <w:r w:rsidR="1CB1B400">
        <w:t>and interconnect</w:t>
      </w:r>
      <w:r w:rsidR="004051A4">
        <w:t xml:space="preserve"> a large </w:t>
      </w:r>
      <w:r w:rsidR="0010268B">
        <w:t>number</w:t>
      </w:r>
      <w:r w:rsidR="004051A4">
        <w:t xml:space="preserve"> of </w:t>
      </w:r>
      <w:r w:rsidR="4544E145">
        <w:t>new</w:t>
      </w:r>
      <w:r w:rsidR="004051A4">
        <w:t xml:space="preserve"> residential and commercial customers</w:t>
      </w:r>
      <w:r w:rsidR="0EF3552F">
        <w:t xml:space="preserve"> every year</w:t>
      </w:r>
      <w:r w:rsidR="004051A4">
        <w:t xml:space="preserve">.  </w:t>
      </w:r>
      <w:r w:rsidR="00B01805">
        <w:t>In addition</w:t>
      </w:r>
      <w:r w:rsidR="004051A4">
        <w:t>, the Greater Houston area has a large presence of petroleum refineries</w:t>
      </w:r>
      <w:r w:rsidR="00433848">
        <w:t xml:space="preserve"> and petrochemical </w:t>
      </w:r>
      <w:r w:rsidR="00CD20AE">
        <w:t>facilities</w:t>
      </w:r>
      <w:r w:rsidR="004051A4">
        <w:t xml:space="preserve">, meaning the Company has many industrial customers that consume large amounts of electricity.  </w:t>
      </w:r>
      <w:r w:rsidR="0045466A">
        <w:t>T</w:t>
      </w:r>
      <w:r w:rsidR="004051A4">
        <w:t xml:space="preserve">he Greater Houston area </w:t>
      </w:r>
      <w:r w:rsidR="0045466A">
        <w:t xml:space="preserve">also </w:t>
      </w:r>
      <w:r w:rsidR="004051A4">
        <w:t xml:space="preserve">has </w:t>
      </w:r>
      <w:r w:rsidR="00A90B16">
        <w:t>some</w:t>
      </w:r>
      <w:r w:rsidR="004051A4">
        <w:t xml:space="preserve"> </w:t>
      </w:r>
      <w:r w:rsidR="39C95B9C">
        <w:t>particularly</w:t>
      </w:r>
      <w:r w:rsidR="004051A4">
        <w:t xml:space="preserve"> </w:t>
      </w:r>
      <w:r w:rsidR="004051A4">
        <w:lastRenderedPageBreak/>
        <w:t xml:space="preserve">important public-serving facilities and infrastructure.  For example, the Texas Medical Center, which is the world’s largest medical complex and home to multiple medical and research institutions, is in Houston.  Likewise, the Port of Houston, which is one of the country’s busiest container ports, is in the Greater Houston area.  </w:t>
      </w:r>
      <w:r w:rsidR="005F4809">
        <w:t xml:space="preserve">In addition to the </w:t>
      </w:r>
      <w:r w:rsidR="00460FAE">
        <w:t>port</w:t>
      </w:r>
      <w:r w:rsidR="004051A4">
        <w:t>, the city of Houston has two airports, George Bush Intercontinental Airport and William P. Hobby Airport,</w:t>
      </w:r>
      <w:r w:rsidR="007C0349">
        <w:t xml:space="preserve"> </w:t>
      </w:r>
      <w:r w:rsidR="004051A4">
        <w:t>which serve millions of passengers and are local hubs for connecting flights</w:t>
      </w:r>
      <w:r w:rsidR="00CC4603">
        <w:t>, as well as</w:t>
      </w:r>
      <w:r w:rsidR="007C0349">
        <w:t xml:space="preserve"> Ellington Airport/Houston Spaceport</w:t>
      </w:r>
      <w:r w:rsidR="004051A4">
        <w:t>.</w:t>
      </w:r>
      <w:bookmarkEnd w:id="10"/>
    </w:p>
    <w:p w14:paraId="578466A7" w14:textId="0731EB7C" w:rsidR="00CD2906" w:rsidRPr="0004701C" w:rsidRDefault="00BB6DE2" w:rsidP="0004701C">
      <w:pPr>
        <w:spacing w:line="480" w:lineRule="auto"/>
        <w:ind w:left="720" w:hanging="720"/>
        <w:rPr>
          <w:b/>
          <w:bCs/>
        </w:rPr>
      </w:pPr>
      <w:r w:rsidRPr="0004701C">
        <w:rPr>
          <w:b/>
          <w:bCs/>
        </w:rPr>
        <w:t>Q.</w:t>
      </w:r>
      <w:r w:rsidRPr="0004701C">
        <w:rPr>
          <w:b/>
          <w:bCs/>
        </w:rPr>
        <w:tab/>
      </w:r>
      <w:r w:rsidR="3F0AC2B1" w:rsidRPr="0004701C">
        <w:rPr>
          <w:b/>
          <w:bCs/>
        </w:rPr>
        <w:t xml:space="preserve">HOW WOULD YOU DESCRIBE </w:t>
      </w:r>
      <w:r w:rsidR="00C47109" w:rsidRPr="0004701C">
        <w:rPr>
          <w:b/>
          <w:bCs/>
        </w:rPr>
        <w:t xml:space="preserve">THE </w:t>
      </w:r>
      <w:r w:rsidR="3F0AC2B1" w:rsidRPr="0004701C">
        <w:rPr>
          <w:b/>
          <w:bCs/>
        </w:rPr>
        <w:t xml:space="preserve">RECENT </w:t>
      </w:r>
      <w:r w:rsidR="008D5068" w:rsidRPr="0004701C">
        <w:rPr>
          <w:b/>
          <w:bCs/>
        </w:rPr>
        <w:t>GROWTH IN CENTERPOINT HOUSTON’S SERVICE AREA.</w:t>
      </w:r>
    </w:p>
    <w:p w14:paraId="274086CB" w14:textId="0CCF3259" w:rsidR="00005C4B" w:rsidRDefault="00426EC0" w:rsidP="0004701C">
      <w:pPr>
        <w:spacing w:line="480" w:lineRule="auto"/>
        <w:ind w:left="720" w:hanging="720"/>
        <w:rPr>
          <w:b/>
        </w:rPr>
      </w:pPr>
      <w:r>
        <w:t>A.</w:t>
      </w:r>
      <w:r>
        <w:tab/>
        <w:t xml:space="preserve">The pace of growth in the Company’s service area has been </w:t>
      </w:r>
      <w:r w:rsidR="2D8ED96C">
        <w:t>rapid, and that growth has been sustained</w:t>
      </w:r>
      <w:r>
        <w:t xml:space="preserve">. At the time of its electric </w:t>
      </w:r>
      <w:r w:rsidR="7A3E8B4A">
        <w:t xml:space="preserve">base </w:t>
      </w:r>
      <w:r w:rsidR="4DC50501">
        <w:t xml:space="preserve">rate </w:t>
      </w:r>
      <w:r w:rsidR="2F069254">
        <w:t>proceeding</w:t>
      </w:r>
      <w:r>
        <w:t xml:space="preserve"> in 2010, the Company had just under 2.1 million </w:t>
      </w:r>
      <w:r w:rsidR="0FEEA5F9">
        <w:t>metered customers</w:t>
      </w:r>
      <w:r>
        <w:t xml:space="preserve">. </w:t>
      </w:r>
      <w:r w:rsidR="090D7004">
        <w:t>B</w:t>
      </w:r>
      <w:r w:rsidR="5A20E7B6">
        <w:t xml:space="preserve">y the company’s 2019 base rate proceeding, </w:t>
      </w:r>
      <w:r w:rsidR="5DBE606E">
        <w:t>t</w:t>
      </w:r>
      <w:r w:rsidR="4DC50501">
        <w:t>hat</w:t>
      </w:r>
      <w:r>
        <w:t xml:space="preserve"> number had grown to approximately 2.5 million</w:t>
      </w:r>
      <w:r w:rsidR="00987E14">
        <w:t xml:space="preserve">.  </w:t>
      </w:r>
      <w:r w:rsidR="665E2AAB">
        <w:t>T</w:t>
      </w:r>
      <w:r w:rsidR="4DC50501">
        <w:t>oday</w:t>
      </w:r>
      <w:r w:rsidR="5A53A9B0">
        <w:t xml:space="preserve">, only </w:t>
      </w:r>
      <w:r w:rsidR="007AF3A1">
        <w:t>five</w:t>
      </w:r>
      <w:r w:rsidR="5A53A9B0">
        <w:t xml:space="preserve"> years later,</w:t>
      </w:r>
      <w:r>
        <w:t xml:space="preserve"> CenterPoint Houston </w:t>
      </w:r>
      <w:r w:rsidR="6EE5F37A">
        <w:t xml:space="preserve">has the privilege to serve </w:t>
      </w:r>
      <w:r>
        <w:t xml:space="preserve">approximately 2.8 million </w:t>
      </w:r>
      <w:r w:rsidR="6CE186E0">
        <w:t>homes and businesses</w:t>
      </w:r>
      <w:r>
        <w:t xml:space="preserve">.  </w:t>
      </w:r>
      <w:r w:rsidR="00026EEA">
        <w:t>Figure JMR-1</w:t>
      </w:r>
      <w:r w:rsidR="00BC5E2B">
        <w:t xml:space="preserve"> illustrates </w:t>
      </w:r>
      <w:r w:rsidR="4E3AFE09">
        <w:t xml:space="preserve">both </w:t>
      </w:r>
      <w:r w:rsidR="00BC5E2B">
        <w:t>customer growth in the Company’s service area since 2010</w:t>
      </w:r>
      <w:r w:rsidR="206F0E7F">
        <w:t xml:space="preserve"> and estimated customer gr</w:t>
      </w:r>
      <w:r w:rsidR="54A1946D">
        <w:t xml:space="preserve">owth </w:t>
      </w:r>
      <w:r w:rsidR="00550816">
        <w:t>through</w:t>
      </w:r>
      <w:r w:rsidR="54A1946D">
        <w:t xml:space="preserve"> 2025</w:t>
      </w:r>
      <w:r w:rsidR="00BC5E2B">
        <w:t>.</w:t>
      </w:r>
    </w:p>
    <w:p w14:paraId="382265B7" w14:textId="16626DB2" w:rsidR="00D07351" w:rsidRPr="0004701C" w:rsidRDefault="00026EEA" w:rsidP="00194051">
      <w:pPr>
        <w:keepNext/>
        <w:keepLines/>
        <w:jc w:val="center"/>
        <w:rPr>
          <w:b/>
          <w:bCs/>
        </w:rPr>
      </w:pPr>
      <w:r w:rsidRPr="0004701C">
        <w:rPr>
          <w:b/>
          <w:bCs/>
        </w:rPr>
        <w:lastRenderedPageBreak/>
        <w:t>Figure JMR-1</w:t>
      </w:r>
    </w:p>
    <w:p w14:paraId="74F11385" w14:textId="563486C0" w:rsidR="00026EEA" w:rsidRPr="0004701C" w:rsidRDefault="000B382E" w:rsidP="00194051">
      <w:pPr>
        <w:keepNext/>
        <w:keepLines/>
        <w:jc w:val="center"/>
        <w:rPr>
          <w:b/>
          <w:bCs/>
        </w:rPr>
      </w:pPr>
      <w:r w:rsidRPr="0004701C">
        <w:rPr>
          <w:b/>
          <w:bCs/>
        </w:rPr>
        <w:t>CenterPoint Houston Year-End Customer Count</w:t>
      </w:r>
    </w:p>
    <w:p w14:paraId="76D2C5CE" w14:textId="77777777" w:rsidR="00024BEA" w:rsidRDefault="00024BEA" w:rsidP="00194051">
      <w:pPr>
        <w:keepNext/>
        <w:keepLines/>
      </w:pPr>
    </w:p>
    <w:p w14:paraId="0D9D67B8" w14:textId="28727949" w:rsidR="00024BEA" w:rsidRPr="000B382E" w:rsidRDefault="00C11A48" w:rsidP="00194051">
      <w:pPr>
        <w:keepNext/>
        <w:keepLines/>
        <w:jc w:val="center"/>
      </w:pPr>
      <w:r>
        <w:rPr>
          <w:noProof/>
        </w:rPr>
        <w:drawing>
          <wp:inline distT="0" distB="0" distL="0" distR="0" wp14:anchorId="4CA68045" wp14:editId="69C2F3BD">
            <wp:extent cx="4610100" cy="304116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3402" cy="3056537"/>
                    </a:xfrm>
                    <a:prstGeom prst="rect">
                      <a:avLst/>
                    </a:prstGeom>
                    <a:noFill/>
                  </pic:spPr>
                </pic:pic>
              </a:graphicData>
            </a:graphic>
          </wp:inline>
        </w:drawing>
      </w:r>
    </w:p>
    <w:p w14:paraId="09AF3DC8" w14:textId="77777777" w:rsidR="00024BEA" w:rsidRDefault="00024BEA" w:rsidP="00194051">
      <w:pPr>
        <w:keepNext/>
        <w:keepLines/>
      </w:pPr>
    </w:p>
    <w:p w14:paraId="7C69B85E" w14:textId="308BF32E" w:rsidR="00EA3C7E" w:rsidRDefault="00426EC0" w:rsidP="00194051">
      <w:pPr>
        <w:keepNext/>
        <w:keepLines/>
        <w:spacing w:line="480" w:lineRule="auto"/>
        <w:ind w:left="720"/>
        <w:rPr>
          <w:b/>
        </w:rPr>
      </w:pPr>
      <w:r>
        <w:t xml:space="preserve">To put </w:t>
      </w:r>
      <w:r w:rsidR="00663313">
        <w:t>into perspective</w:t>
      </w:r>
      <w:r>
        <w:t xml:space="preserve"> </w:t>
      </w:r>
      <w:r w:rsidR="006572A0">
        <w:t xml:space="preserve">the </w:t>
      </w:r>
      <w:r w:rsidR="002976BE">
        <w:t xml:space="preserve">past </w:t>
      </w:r>
      <w:r w:rsidR="7313DFB9">
        <w:t xml:space="preserve">customer </w:t>
      </w:r>
      <w:r>
        <w:t>growth in</w:t>
      </w:r>
      <w:r w:rsidR="006572A0">
        <w:t xml:space="preserve"> the Company’s service area</w:t>
      </w:r>
      <w:r>
        <w:t xml:space="preserve">, the Company </w:t>
      </w:r>
      <w:r w:rsidR="4DC50501">
        <w:t>ha</w:t>
      </w:r>
      <w:r w:rsidR="1CC4E49D">
        <w:t>s</w:t>
      </w:r>
      <w:r>
        <w:t xml:space="preserve"> added </w:t>
      </w:r>
      <w:r w:rsidR="00261AD4">
        <w:t>into</w:t>
      </w:r>
      <w:r>
        <w:t xml:space="preserve"> its service </w:t>
      </w:r>
      <w:r w:rsidR="00CE59C5">
        <w:t>area</w:t>
      </w:r>
      <w:r>
        <w:t xml:space="preserve"> </w:t>
      </w:r>
      <w:r w:rsidR="00CF3CF6">
        <w:t>the equivalent of</w:t>
      </w:r>
      <w:r>
        <w:t xml:space="preserve"> a city roughly the size of Waco, Texas every single year since 2010! </w:t>
      </w:r>
      <w:r w:rsidR="29295373">
        <w:t xml:space="preserve">That significant annual growth requires building new infrastructure, or upgrading existing infrastructure, to serve that ever-increasing customer base.  Whether building </w:t>
      </w:r>
      <w:r w:rsidR="658940A2">
        <w:t xml:space="preserve">new or upgraded transmission lines to bring more power into </w:t>
      </w:r>
      <w:r w:rsidR="360D58BD">
        <w:t>the</w:t>
      </w:r>
      <w:r w:rsidR="658940A2">
        <w:t xml:space="preserve"> Houston</w:t>
      </w:r>
      <w:r w:rsidR="074CC17D">
        <w:t xml:space="preserve"> region</w:t>
      </w:r>
      <w:r w:rsidR="658940A2">
        <w:t>, new or upgraded substations, or new distribution circuits to new homes and businesses</w:t>
      </w:r>
      <w:r w:rsidR="32DD3FDF">
        <w:t>, this customer growth has</w:t>
      </w:r>
      <w:r w:rsidR="658940A2">
        <w:t xml:space="preserve"> </w:t>
      </w:r>
      <w:r w:rsidR="32DD3FDF">
        <w:t>been a large driver of the increased capital expenditures of the Company that I detail later in this testimony.</w:t>
      </w:r>
      <w:r w:rsidR="658940A2">
        <w:t xml:space="preserve"> </w:t>
      </w:r>
    </w:p>
    <w:p w14:paraId="02DE70EB" w14:textId="75975B71" w:rsidR="00EA3C7E" w:rsidRDefault="469E29DC" w:rsidP="00D03482">
      <w:pPr>
        <w:spacing w:line="480" w:lineRule="auto"/>
        <w:ind w:left="720"/>
        <w:rPr>
          <w:b/>
        </w:rPr>
      </w:pPr>
      <w:r w:rsidRPr="37FF5983">
        <w:t xml:space="preserve">Also, </w:t>
      </w:r>
      <w:r w:rsidR="479B3810" w:rsidRPr="37FF5983">
        <w:t>as mentioned above</w:t>
      </w:r>
      <w:r w:rsidRPr="37FF5983">
        <w:t xml:space="preserve">, </w:t>
      </w:r>
      <w:r w:rsidR="18240C98" w:rsidRPr="37FF5983">
        <w:t>o</w:t>
      </w:r>
      <w:r w:rsidR="2E2CD429" w:rsidRPr="37FF5983">
        <w:t>ur</w:t>
      </w:r>
      <w:r w:rsidR="00EA3C7E" w:rsidRPr="0A3545C5">
        <w:t xml:space="preserve"> service area is home to</w:t>
      </w:r>
      <w:r w:rsidR="004F6240" w:rsidRPr="0A3545C5">
        <w:t xml:space="preserve"> important </w:t>
      </w:r>
      <w:r w:rsidR="007C3F31" w:rsidRPr="0A3545C5">
        <w:t xml:space="preserve">public-serving infrastructure including </w:t>
      </w:r>
      <w:r w:rsidR="00EA3C7E" w:rsidRPr="0A3545C5">
        <w:t>the Texas Medical Center, the largest medical complex in the world</w:t>
      </w:r>
      <w:r w:rsidR="007C3F31" w:rsidRPr="0A3545C5">
        <w:t>, and t</w:t>
      </w:r>
      <w:r w:rsidR="00EA3C7E" w:rsidRPr="0A3545C5">
        <w:t xml:space="preserve">he </w:t>
      </w:r>
      <w:r w:rsidR="00C80597" w:rsidRPr="0A3545C5">
        <w:t>Houston Ship Channel complex</w:t>
      </w:r>
      <w:r w:rsidR="007C3F31" w:rsidRPr="0A3545C5">
        <w:t>,</w:t>
      </w:r>
      <w:r w:rsidR="00EA3C7E" w:rsidRPr="0A3545C5">
        <w:t xml:space="preserve"> the largest port in the country in terms of waterborne tonnage</w:t>
      </w:r>
      <w:r w:rsidR="00E75683" w:rsidRPr="0A3545C5">
        <w:t>.</w:t>
      </w:r>
      <w:r w:rsidR="00E75683" w:rsidRPr="0A3545C5" w:rsidDel="00005AE4">
        <w:t xml:space="preserve"> </w:t>
      </w:r>
      <w:r w:rsidR="00E75683" w:rsidRPr="0A3545C5">
        <w:t xml:space="preserve"> </w:t>
      </w:r>
      <w:r w:rsidR="00B133FF" w:rsidRPr="0A3545C5">
        <w:t xml:space="preserve">The Texas Medical Center employs over </w:t>
      </w:r>
      <w:r w:rsidR="00BE1270" w:rsidRPr="0A3545C5">
        <w:t>100,000</w:t>
      </w:r>
      <w:r w:rsidR="00114C1D" w:rsidRPr="0A3545C5">
        <w:t xml:space="preserve"> </w:t>
      </w:r>
      <w:r w:rsidR="00114C1D" w:rsidRPr="0A3545C5">
        <w:lastRenderedPageBreak/>
        <w:t xml:space="preserve">people, is responsible for 10 million patient encounters per year, </w:t>
      </w:r>
      <w:r w:rsidR="00616FCF" w:rsidRPr="0A3545C5">
        <w:t>and is home to the world’s largest children’s</w:t>
      </w:r>
      <w:r w:rsidR="00005AE4" w:rsidRPr="0A3545C5">
        <w:t xml:space="preserve"> hospital</w:t>
      </w:r>
      <w:r w:rsidR="00616FCF" w:rsidRPr="0A3545C5">
        <w:t xml:space="preserve"> and cancer hospital.</w:t>
      </w:r>
      <w:r w:rsidR="00426EC0" w:rsidRPr="14ED2999">
        <w:rPr>
          <w:vertAlign w:val="superscript"/>
        </w:rPr>
        <w:footnoteReference w:id="9"/>
      </w:r>
      <w:r w:rsidR="00B133FF" w:rsidRPr="0A3545C5">
        <w:t xml:space="preserve"> </w:t>
      </w:r>
      <w:r w:rsidR="00005AE4" w:rsidRPr="0A3545C5">
        <w:t xml:space="preserve"> </w:t>
      </w:r>
      <w:r w:rsidR="00E75683" w:rsidRPr="0A3545C5">
        <w:t>O</w:t>
      </w:r>
      <w:r w:rsidR="00C80597" w:rsidRPr="0A3545C5">
        <w:t xml:space="preserve">ne study has estimated that </w:t>
      </w:r>
      <w:r w:rsidR="00005AE4" w:rsidRPr="0A3545C5">
        <w:t>the Houston Ship Channel complex</w:t>
      </w:r>
      <w:r w:rsidR="00C80597" w:rsidRPr="0A3545C5">
        <w:t xml:space="preserve"> supports over 1.5 million jobs throughout Texas and nearly 3.4 million jobs nationwide.</w:t>
      </w:r>
      <w:r w:rsidR="00D15FAE" w:rsidRPr="0A3545C5">
        <w:rPr>
          <w:rStyle w:val="FootnoteReference"/>
        </w:rPr>
        <w:footnoteReference w:id="10"/>
      </w:r>
      <w:r w:rsidR="00C80597" w:rsidRPr="0A3545C5">
        <w:t xml:space="preserve"> </w:t>
      </w:r>
    </w:p>
    <w:p w14:paraId="6D7241CA" w14:textId="57745D08" w:rsidR="00EA3C7E" w:rsidRDefault="786D6465" w:rsidP="00D03482">
      <w:pPr>
        <w:spacing w:line="480" w:lineRule="auto"/>
        <w:ind w:left="720"/>
        <w:rPr>
          <w:b/>
        </w:rPr>
      </w:pPr>
      <w:r w:rsidRPr="149CA17E">
        <w:t xml:space="preserve">Moreover, </w:t>
      </w:r>
      <w:r w:rsidR="00C80597" w:rsidRPr="0A3545C5">
        <w:t>Houston’s airports</w:t>
      </w:r>
      <w:r w:rsidR="00F30F48" w:rsidRPr="0A3545C5">
        <w:t xml:space="preserve"> </w:t>
      </w:r>
      <w:r w:rsidR="00C80597" w:rsidRPr="0A3545C5">
        <w:t>serve over 50 million passengers per year and position Houston as a gateway to the south</w:t>
      </w:r>
      <w:r w:rsidR="00B02A5D" w:rsidRPr="0A3545C5">
        <w:t>-</w:t>
      </w:r>
      <w:r w:rsidR="00C80597" w:rsidRPr="0A3545C5">
        <w:t>central United States and Latin America.</w:t>
      </w:r>
      <w:r w:rsidR="00662865" w:rsidRPr="0A3545C5">
        <w:rPr>
          <w:rStyle w:val="FootnoteReference"/>
        </w:rPr>
        <w:footnoteReference w:id="11"/>
      </w:r>
      <w:r w:rsidR="00C80597" w:rsidRPr="0A3545C5">
        <w:t xml:space="preserve"> </w:t>
      </w:r>
      <w:r w:rsidR="005803CD" w:rsidRPr="0A3545C5">
        <w:t xml:space="preserve"> </w:t>
      </w:r>
    </w:p>
    <w:p w14:paraId="69CDB021" w14:textId="6134FF43" w:rsidR="00EA3C7E" w:rsidRDefault="145C18F9" w:rsidP="00D03482">
      <w:pPr>
        <w:spacing w:line="480" w:lineRule="auto"/>
        <w:ind w:left="720"/>
        <w:rPr>
          <w:b/>
        </w:rPr>
      </w:pPr>
      <w:r w:rsidRPr="20E7E85C">
        <w:t>Finally, m</w:t>
      </w:r>
      <w:r w:rsidR="00C80597" w:rsidRPr="0A3545C5">
        <w:t>ost people recognize Houston as the energy capital of the world, but many may not know that 26 companies in the Fortune 500 are headquartered in Houston</w:t>
      </w:r>
      <w:r w:rsidR="00AF6236" w:rsidRPr="0A3545C5">
        <w:t xml:space="preserve"> </w:t>
      </w:r>
      <w:r w:rsidR="326554F1" w:rsidRPr="0A3545C5">
        <w:t>(</w:t>
      </w:r>
      <w:r w:rsidR="00D76B57" w:rsidRPr="0A3545C5">
        <w:t xml:space="preserve">and </w:t>
      </w:r>
      <w:r w:rsidR="00267D46" w:rsidRPr="0A3545C5">
        <w:t xml:space="preserve">two of </w:t>
      </w:r>
      <w:r w:rsidR="00D76B57" w:rsidRPr="0A3545C5">
        <w:t xml:space="preserve">those </w:t>
      </w:r>
      <w:r w:rsidR="00D76B57">
        <w:t>relocated</w:t>
      </w:r>
      <w:r w:rsidR="00D76B57" w:rsidRPr="0A3545C5">
        <w:t xml:space="preserve"> as recently as 2023</w:t>
      </w:r>
      <w:r w:rsidR="60967770" w:rsidRPr="0A3545C5">
        <w:t>)</w:t>
      </w:r>
      <w:r w:rsidR="00C80597" w:rsidRPr="0A3545C5">
        <w:t xml:space="preserve">, </w:t>
      </w:r>
      <w:r w:rsidR="00DA496C" w:rsidRPr="0A3545C5">
        <w:t xml:space="preserve">which puts the </w:t>
      </w:r>
      <w:r w:rsidR="0FE2B69D" w:rsidRPr="0A3545C5">
        <w:t>area</w:t>
      </w:r>
      <w:r w:rsidR="00DA496C" w:rsidRPr="0A3545C5">
        <w:t xml:space="preserve"> </w:t>
      </w:r>
      <w:r w:rsidR="00F91EBA" w:rsidRPr="0A3545C5">
        <w:t>third in the country</w:t>
      </w:r>
      <w:r w:rsidR="3DE0DC34" w:rsidRPr="0A3545C5">
        <w:t xml:space="preserve"> for number of Fortune 500 headquarters,</w:t>
      </w:r>
      <w:r w:rsidR="00F91EBA" w:rsidRPr="0A3545C5">
        <w:t xml:space="preserve"> after</w:t>
      </w:r>
      <w:r w:rsidR="00DA496C" w:rsidRPr="0A3545C5">
        <w:t xml:space="preserve"> </w:t>
      </w:r>
      <w:r w:rsidR="005A2BBA" w:rsidRPr="0A3545C5">
        <w:t>New York (62) and Chicago (30).</w:t>
      </w:r>
      <w:r w:rsidR="008751CE" w:rsidRPr="0A3545C5">
        <w:rPr>
          <w:rStyle w:val="FootnoteReference"/>
        </w:rPr>
        <w:footnoteReference w:id="12"/>
      </w:r>
      <w:r w:rsidR="005A2BBA" w:rsidRPr="0A3545C5">
        <w:t xml:space="preserve"> </w:t>
      </w:r>
    </w:p>
    <w:p w14:paraId="7D51018B" w14:textId="6DD4F572" w:rsidR="004559CB" w:rsidRPr="00D03482" w:rsidRDefault="004559CB" w:rsidP="00D03482">
      <w:pPr>
        <w:spacing w:line="480" w:lineRule="auto"/>
        <w:ind w:left="720" w:hanging="720"/>
        <w:rPr>
          <w:b/>
          <w:bCs/>
        </w:rPr>
      </w:pPr>
      <w:r w:rsidRPr="00D03482">
        <w:rPr>
          <w:b/>
          <w:bCs/>
        </w:rPr>
        <w:t>Q.</w:t>
      </w:r>
      <w:r w:rsidRPr="00D03482">
        <w:rPr>
          <w:b/>
          <w:bCs/>
        </w:rPr>
        <w:tab/>
        <w:t>IS THE RAPID GROWTH IN THE HOUSTON AREA EXPECTED TO CONTINUE</w:t>
      </w:r>
      <w:r w:rsidR="0156D3D1" w:rsidRPr="00D03482">
        <w:rPr>
          <w:b/>
          <w:bCs/>
        </w:rPr>
        <w:t xml:space="preserve"> WELL BEYOND THE NEXT FEW YEARS AS SHOWN ABOVE</w:t>
      </w:r>
      <w:r w:rsidRPr="00D03482">
        <w:rPr>
          <w:b/>
          <w:bCs/>
        </w:rPr>
        <w:t>?</w:t>
      </w:r>
    </w:p>
    <w:p w14:paraId="42F3C7AE" w14:textId="2DF04727" w:rsidR="008B16F3" w:rsidRDefault="004559CB" w:rsidP="00D03482">
      <w:pPr>
        <w:spacing w:line="480" w:lineRule="auto"/>
        <w:ind w:left="720" w:hanging="720"/>
        <w:rPr>
          <w:b/>
        </w:rPr>
      </w:pPr>
      <w:r>
        <w:t>A.</w:t>
      </w:r>
      <w:r>
        <w:tab/>
        <w:t xml:space="preserve">Yes. </w:t>
      </w:r>
      <w:r w:rsidR="001E5401">
        <w:t xml:space="preserve">Figure </w:t>
      </w:r>
      <w:r w:rsidR="00D07351">
        <w:t>JMR-2</w:t>
      </w:r>
      <w:r w:rsidR="2D535856">
        <w:t>, which was prepared by the Texas Demographic Center</w:t>
      </w:r>
      <w:r w:rsidR="00F95848">
        <w:rPr>
          <w:rStyle w:val="FootnoteReference"/>
        </w:rPr>
        <w:footnoteReference w:id="13"/>
      </w:r>
      <w:r w:rsidR="2D535856">
        <w:t>,</w:t>
      </w:r>
      <w:r w:rsidR="00D219E5">
        <w:t xml:space="preserve"> </w:t>
      </w:r>
      <w:r w:rsidR="000B1B58">
        <w:t>shows</w:t>
      </w:r>
      <w:r w:rsidR="00077E5B">
        <w:t xml:space="preserve"> projected population change for Texas counties </w:t>
      </w:r>
      <w:r w:rsidR="00FA2AF0">
        <w:t>for</w:t>
      </w:r>
      <w:r w:rsidR="00077E5B">
        <w:t xml:space="preserve"> 2020</w:t>
      </w:r>
      <w:r w:rsidR="00FA2AF0">
        <w:t>–</w:t>
      </w:r>
      <w:r w:rsidR="00077E5B">
        <w:t>2060</w:t>
      </w:r>
      <w:r w:rsidR="00D219E5">
        <w:t>.</w:t>
      </w:r>
      <w:r w:rsidR="00077E5B">
        <w:t xml:space="preserve"> </w:t>
      </w:r>
    </w:p>
    <w:p w14:paraId="336FDC50" w14:textId="68D39A30" w:rsidR="00FF31D8" w:rsidRDefault="00FF31D8" w:rsidP="00194051">
      <w:pPr>
        <w:keepNext/>
        <w:keepLines/>
        <w:ind w:left="720" w:right="720"/>
        <w:jc w:val="left"/>
        <w:rPr>
          <w:rFonts w:eastAsia="Times New Roman"/>
          <w:b/>
        </w:rPr>
      </w:pPr>
    </w:p>
    <w:p w14:paraId="1794F098" w14:textId="6E1B96AA" w:rsidR="0014559E" w:rsidRPr="00D03482" w:rsidRDefault="0014559E" w:rsidP="00194051">
      <w:pPr>
        <w:keepNext/>
        <w:keepLines/>
        <w:jc w:val="center"/>
        <w:rPr>
          <w:b/>
          <w:bCs/>
        </w:rPr>
      </w:pPr>
      <w:r w:rsidRPr="00D03482">
        <w:rPr>
          <w:b/>
          <w:bCs/>
        </w:rPr>
        <w:t xml:space="preserve">Figure </w:t>
      </w:r>
      <w:r w:rsidR="00D07351" w:rsidRPr="00D03482">
        <w:rPr>
          <w:b/>
          <w:bCs/>
        </w:rPr>
        <w:t>JMR-2</w:t>
      </w:r>
    </w:p>
    <w:p w14:paraId="34BE9B50" w14:textId="1124DC3D" w:rsidR="0014559E" w:rsidRPr="00D03482" w:rsidRDefault="0014559E" w:rsidP="00194051">
      <w:pPr>
        <w:keepNext/>
        <w:keepLines/>
        <w:jc w:val="center"/>
        <w:rPr>
          <w:b/>
          <w:bCs/>
        </w:rPr>
      </w:pPr>
      <w:r w:rsidRPr="00D03482">
        <w:rPr>
          <w:b/>
          <w:bCs/>
        </w:rPr>
        <w:t>Projected Population Change, Texas Counties, 2020-2060</w:t>
      </w:r>
    </w:p>
    <w:p w14:paraId="4E21D7CB" w14:textId="3D02682C" w:rsidR="0014559E" w:rsidRDefault="0014559E" w:rsidP="00194051">
      <w:pPr>
        <w:keepNext/>
        <w:keepLines/>
      </w:pPr>
    </w:p>
    <w:p w14:paraId="75BAE8FE" w14:textId="592AB448" w:rsidR="00D219E5" w:rsidRPr="004559CB" w:rsidRDefault="00024BEA" w:rsidP="00194051">
      <w:pPr>
        <w:keepNext/>
        <w:keepLines/>
        <w:jc w:val="right"/>
      </w:pPr>
      <w:r>
        <w:rPr>
          <w:noProof/>
        </w:rPr>
        <w:drawing>
          <wp:inline distT="0" distB="0" distL="0" distR="0" wp14:anchorId="58AA7A2E" wp14:editId="66F71EC5">
            <wp:extent cx="5459101" cy="3079820"/>
            <wp:effectExtent l="0" t="0" r="825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9"/>
                    <a:stretch>
                      <a:fillRect/>
                    </a:stretch>
                  </pic:blipFill>
                  <pic:spPr>
                    <a:xfrm>
                      <a:off x="0" y="0"/>
                      <a:ext cx="5475200" cy="3088902"/>
                    </a:xfrm>
                    <a:prstGeom prst="rect">
                      <a:avLst/>
                    </a:prstGeom>
                  </pic:spPr>
                </pic:pic>
              </a:graphicData>
            </a:graphic>
          </wp:inline>
        </w:drawing>
      </w:r>
    </w:p>
    <w:p w14:paraId="15ED7D8F" w14:textId="77777777" w:rsidR="00024BEA" w:rsidRDefault="00024BEA" w:rsidP="00194051">
      <w:pPr>
        <w:keepNext/>
        <w:keepLines/>
      </w:pPr>
    </w:p>
    <w:p w14:paraId="120537C8" w14:textId="0D89D649" w:rsidR="00956457" w:rsidRDefault="001E5401" w:rsidP="00194051">
      <w:pPr>
        <w:spacing w:line="480" w:lineRule="auto"/>
        <w:ind w:left="720"/>
        <w:rPr>
          <w:b/>
        </w:rPr>
      </w:pPr>
      <w:r>
        <w:t xml:space="preserve">As </w:t>
      </w:r>
      <w:r w:rsidR="00972A80">
        <w:t>Figure</w:t>
      </w:r>
      <w:r w:rsidR="46F19658">
        <w:t xml:space="preserve"> </w:t>
      </w:r>
      <w:r w:rsidR="00972A80">
        <w:t>JMR-2</w:t>
      </w:r>
      <w:r w:rsidR="717E0C70">
        <w:t xml:space="preserve"> illustrat</w:t>
      </w:r>
      <w:r w:rsidR="3442054E">
        <w:t>e</w:t>
      </w:r>
      <w:r w:rsidR="720F8123">
        <w:t>s</w:t>
      </w:r>
      <w:r>
        <w:t xml:space="preserve">, Harris </w:t>
      </w:r>
      <w:r w:rsidR="0014559E">
        <w:t>C</w:t>
      </w:r>
      <w:r>
        <w:t xml:space="preserve">ounty, the heart of the Company’s service </w:t>
      </w:r>
      <w:r w:rsidR="00CE59C5">
        <w:t>area</w:t>
      </w:r>
      <w:r>
        <w:t xml:space="preserve">, is expected to </w:t>
      </w:r>
      <w:r w:rsidR="2A5C0204">
        <w:t xml:space="preserve">continue </w:t>
      </w:r>
      <w:r w:rsidR="3442054E">
        <w:t>grow</w:t>
      </w:r>
      <w:r w:rsidR="43FECF70">
        <w:t>ing, increasing</w:t>
      </w:r>
      <w:r>
        <w:t xml:space="preserve"> by </w:t>
      </w:r>
      <w:r w:rsidR="520C9DD0">
        <w:t>between</w:t>
      </w:r>
      <w:r>
        <w:t xml:space="preserve"> 1 million </w:t>
      </w:r>
      <w:r w:rsidR="4FCF2C43">
        <w:t xml:space="preserve">and </w:t>
      </w:r>
      <w:r>
        <w:t xml:space="preserve">1.57 million people </w:t>
      </w:r>
      <w:r w:rsidR="78B000D7">
        <w:t>between 2020 and 2060</w:t>
      </w:r>
      <w:r>
        <w:t xml:space="preserve">. Fort Bend County, also in our service </w:t>
      </w:r>
      <w:r w:rsidR="00706114">
        <w:t>area</w:t>
      </w:r>
      <w:r w:rsidR="6DFFAA91">
        <w:t>,</w:t>
      </w:r>
      <w:r>
        <w:t xml:space="preserve"> is projected to see similar growth.</w:t>
      </w:r>
      <w:r w:rsidR="0014559E">
        <w:t xml:space="preserve"> As the map shows, similar growth is </w:t>
      </w:r>
      <w:r w:rsidR="078CE390">
        <w:t xml:space="preserve">projected to </w:t>
      </w:r>
      <w:r w:rsidR="0014559E">
        <w:t>occur</w:t>
      </w:r>
      <w:r w:rsidR="001E68B0">
        <w:t xml:space="preserve"> </w:t>
      </w:r>
      <w:r w:rsidR="0014559E">
        <w:t xml:space="preserve">in the Austin and Dallas-Ft. Worth areas, but unlike those regions, the CenterPoint Houston service area </w:t>
      </w:r>
      <w:r w:rsidR="4C142D03">
        <w:t>is located</w:t>
      </w:r>
      <w:r w:rsidR="07D21270">
        <w:t xml:space="preserve"> </w:t>
      </w:r>
      <w:r w:rsidR="5EC3BE0D">
        <w:t>al</w:t>
      </w:r>
      <w:r w:rsidR="07D21270">
        <w:t>on</w:t>
      </w:r>
      <w:r w:rsidR="623AC6C5">
        <w:t>g</w:t>
      </w:r>
      <w:r w:rsidR="0014559E">
        <w:t xml:space="preserve"> the Texas Gulf Coast, exposing it </w:t>
      </w:r>
      <w:r w:rsidR="00BE6423">
        <w:t xml:space="preserve">to hurricanes and </w:t>
      </w:r>
      <w:r w:rsidR="5D87B14E">
        <w:t>o</w:t>
      </w:r>
      <w:r w:rsidR="07D21270">
        <w:t>t</w:t>
      </w:r>
      <w:r w:rsidR="51F81A7A">
        <w:t>her</w:t>
      </w:r>
      <w:r w:rsidR="11399488">
        <w:t xml:space="preserve"> </w:t>
      </w:r>
      <w:r w:rsidR="00956457">
        <w:t>types of</w:t>
      </w:r>
      <w:r w:rsidR="0014559E">
        <w:t xml:space="preserve"> severe weather </w:t>
      </w:r>
      <w:r w:rsidR="0AB91235">
        <w:t xml:space="preserve">events </w:t>
      </w:r>
      <w:r w:rsidR="66AF1401">
        <w:t xml:space="preserve">that may </w:t>
      </w:r>
      <w:r w:rsidR="00956457">
        <w:t xml:space="preserve">not </w:t>
      </w:r>
      <w:r w:rsidR="1F863348">
        <w:t xml:space="preserve">occur </w:t>
      </w:r>
      <w:r w:rsidR="00956457">
        <w:t>further inland</w:t>
      </w:r>
      <w:r w:rsidR="0014559E">
        <w:t>.</w:t>
      </w:r>
      <w:r w:rsidR="005D6319">
        <w:t xml:space="preserve">  Several of the Company’s </w:t>
      </w:r>
      <w:r w:rsidR="18CF8EBD">
        <w:t>witnesses</w:t>
      </w:r>
      <w:r w:rsidR="005D6319">
        <w:t xml:space="preserve"> discuss customer growth in more detail, including Lynnae Wilson, Eric Easton, and Randy Pryor.</w:t>
      </w:r>
    </w:p>
    <w:p w14:paraId="6904F4A4" w14:textId="0980CE54" w:rsidR="0014559E" w:rsidRPr="00D03482" w:rsidRDefault="0014559E" w:rsidP="00194051">
      <w:pPr>
        <w:spacing w:line="480" w:lineRule="auto"/>
        <w:ind w:left="720" w:hanging="720"/>
        <w:rPr>
          <w:b/>
          <w:bCs/>
        </w:rPr>
      </w:pPr>
      <w:r w:rsidRPr="00D03482">
        <w:rPr>
          <w:b/>
          <w:bCs/>
        </w:rPr>
        <w:t>Q.</w:t>
      </w:r>
      <w:r w:rsidRPr="00D03482">
        <w:rPr>
          <w:b/>
          <w:bCs/>
        </w:rPr>
        <w:tab/>
        <w:t>PLEASE DESCRIBE THE SEVERE WEATHER THREATS AFFECTING THE COMPANY.</w:t>
      </w:r>
    </w:p>
    <w:p w14:paraId="32941D62" w14:textId="7B273A4E" w:rsidR="0014559E" w:rsidRPr="0014559E" w:rsidRDefault="0014559E" w:rsidP="00194051">
      <w:pPr>
        <w:keepNext/>
        <w:keepLines/>
        <w:spacing w:line="480" w:lineRule="auto"/>
        <w:ind w:left="720" w:hanging="720"/>
        <w:rPr>
          <w:b/>
        </w:rPr>
      </w:pPr>
      <w:r w:rsidRPr="00D03482">
        <w:rPr>
          <w:bCs/>
        </w:rPr>
        <w:lastRenderedPageBreak/>
        <w:t>A</w:t>
      </w:r>
      <w:r w:rsidRPr="0A3545C5">
        <w:rPr>
          <w:b/>
        </w:rPr>
        <w:t>.</w:t>
      </w:r>
      <w:r>
        <w:tab/>
      </w:r>
      <w:r w:rsidRPr="0A3545C5">
        <w:t xml:space="preserve">There are few, if any, locations in the United States </w:t>
      </w:r>
      <w:r w:rsidR="712F795F" w:rsidRPr="0A3545C5">
        <w:t>where</w:t>
      </w:r>
      <w:r w:rsidR="7E087F42" w:rsidRPr="0A3545C5">
        <w:t xml:space="preserve"> customers are </w:t>
      </w:r>
      <w:r w:rsidR="00061AD3" w:rsidRPr="0A3545C5">
        <w:t>as susceptible to</w:t>
      </w:r>
      <w:r w:rsidR="3A0567F1" w:rsidRPr="0A3545C5">
        <w:t xml:space="preserve"> </w:t>
      </w:r>
      <w:r w:rsidRPr="0A3545C5">
        <w:t xml:space="preserve">substantial impacts from severe weather events </w:t>
      </w:r>
      <w:r w:rsidR="00D74573" w:rsidRPr="0A3545C5">
        <w:t xml:space="preserve">as </w:t>
      </w:r>
      <w:r w:rsidR="00A67DD2" w:rsidRPr="0A3545C5">
        <w:t>customers in</w:t>
      </w:r>
      <w:r w:rsidRPr="0A3545C5">
        <w:t xml:space="preserve"> Harris County, Texas. According to data collected by the National Centers for Environmental Information (</w:t>
      </w:r>
      <w:r w:rsidR="008F6AEC">
        <w:t>“</w:t>
      </w:r>
      <w:r w:rsidRPr="0A3545C5">
        <w:t>NCEI</w:t>
      </w:r>
      <w:r w:rsidR="008F6AEC">
        <w:t>”</w:t>
      </w:r>
      <w:r w:rsidRPr="0A3545C5">
        <w:t>) at the National Oceanic and Atmospheric Administration (</w:t>
      </w:r>
      <w:r w:rsidR="008F6AEC">
        <w:t>“</w:t>
      </w:r>
      <w:r w:rsidRPr="0A3545C5">
        <w:t>NOAA</w:t>
      </w:r>
      <w:r w:rsidR="008F6AEC">
        <w:t>”</w:t>
      </w:r>
      <w:r w:rsidRPr="0A3545C5">
        <w:t xml:space="preserve">), Harris County has the highest possible risk and vulnerability rating (100 out of 100) for flooding risk and </w:t>
      </w:r>
      <w:r w:rsidR="204B78C6" w:rsidRPr="0A3545C5">
        <w:t xml:space="preserve">hurricane (a.k.a., </w:t>
      </w:r>
      <w:r w:rsidRPr="0A3545C5">
        <w:t>tropical cyclone</w:t>
      </w:r>
      <w:r w:rsidR="5B1B30B7" w:rsidRPr="0A3545C5">
        <w:t>)</w:t>
      </w:r>
      <w:r w:rsidRPr="0A3545C5">
        <w:t xml:space="preserve"> risk and has a very high risk and vulnerability rating for severe storm</w:t>
      </w:r>
      <w:r w:rsidR="17C67F9C" w:rsidRPr="0A3545C5">
        <w:t>s</w:t>
      </w:r>
      <w:r w:rsidRPr="0A3545C5">
        <w:t xml:space="preserve"> (94.56 out of 100) and winter storm</w:t>
      </w:r>
      <w:r w:rsidR="7290119D" w:rsidRPr="0A3545C5">
        <w:t>s</w:t>
      </w:r>
      <w:r w:rsidR="00CD73C3">
        <w:t xml:space="preserve"> </w:t>
      </w:r>
      <w:r w:rsidRPr="0A3545C5">
        <w:t xml:space="preserve">(65.33 out of 100). </w:t>
      </w:r>
    </w:p>
    <w:p w14:paraId="52DF158D" w14:textId="0C72FF72" w:rsidR="0014559E" w:rsidRPr="00D93CC6" w:rsidRDefault="0014559E" w:rsidP="00D03482">
      <w:pPr>
        <w:jc w:val="center"/>
        <w:rPr>
          <w:b/>
          <w:bCs/>
        </w:rPr>
      </w:pPr>
      <w:r w:rsidRPr="00D93CC6">
        <w:rPr>
          <w:b/>
          <w:bCs/>
        </w:rPr>
        <w:t xml:space="preserve">Figure </w:t>
      </w:r>
      <w:r w:rsidR="00972A80" w:rsidRPr="00D93CC6">
        <w:rPr>
          <w:b/>
          <w:bCs/>
        </w:rPr>
        <w:t>JMR-3</w:t>
      </w:r>
    </w:p>
    <w:p w14:paraId="7738113D" w14:textId="16298BA6" w:rsidR="0014559E" w:rsidRPr="00D93CC6" w:rsidRDefault="0014559E" w:rsidP="00D03482">
      <w:pPr>
        <w:jc w:val="center"/>
        <w:rPr>
          <w:b/>
          <w:bCs/>
        </w:rPr>
      </w:pPr>
      <w:r w:rsidRPr="00D93CC6">
        <w:rPr>
          <w:b/>
          <w:bCs/>
        </w:rPr>
        <w:t>Risk and Vulnerability Ratings for Harris County</w:t>
      </w:r>
    </w:p>
    <w:p w14:paraId="3CFA4CCB" w14:textId="64AFF2E3" w:rsidR="0014559E" w:rsidRPr="00D93CC6" w:rsidRDefault="0014559E" w:rsidP="00361EF6">
      <w:pPr>
        <w:spacing w:line="480" w:lineRule="auto"/>
        <w:jc w:val="center"/>
        <w:rPr>
          <w:b/>
          <w:bCs/>
        </w:rPr>
      </w:pPr>
      <w:r w:rsidRPr="00D93CC6">
        <w:rPr>
          <w:b/>
          <w:bCs/>
        </w:rPr>
        <w:t>NOAA National Centers for Environmental Information</w:t>
      </w:r>
      <w:r w:rsidR="00A47B8F" w:rsidRPr="00D93CC6">
        <w:rPr>
          <w:rStyle w:val="FootnoteReference"/>
          <w:rFonts w:eastAsia="Calibri"/>
          <w:b/>
          <w:bCs/>
        </w:rPr>
        <w:footnoteReference w:id="14"/>
      </w:r>
    </w:p>
    <w:p w14:paraId="49B88DF0" w14:textId="1DF6EBFB" w:rsidR="00B92AF8" w:rsidRPr="0014559E" w:rsidRDefault="00A43819" w:rsidP="00361EF6">
      <w:pPr>
        <w:spacing w:line="480" w:lineRule="auto"/>
        <w:jc w:val="center"/>
        <w:rPr>
          <w:rFonts w:eastAsia="Calibri"/>
        </w:rPr>
      </w:pPr>
      <w:r>
        <w:rPr>
          <w:noProof/>
        </w:rPr>
        <w:drawing>
          <wp:inline distT="0" distB="0" distL="0" distR="0" wp14:anchorId="24C7C252" wp14:editId="4C7951CD">
            <wp:extent cx="4324350" cy="3039057"/>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64477" cy="3067257"/>
                    </a:xfrm>
                    <a:prstGeom prst="rect">
                      <a:avLst/>
                    </a:prstGeom>
                  </pic:spPr>
                </pic:pic>
              </a:graphicData>
            </a:graphic>
          </wp:inline>
        </w:drawing>
      </w:r>
    </w:p>
    <w:p w14:paraId="3FC9235B" w14:textId="12AD8690" w:rsidR="009C7898" w:rsidRPr="009C7898" w:rsidRDefault="00FF6185" w:rsidP="00D93CC6">
      <w:pPr>
        <w:spacing w:line="480" w:lineRule="auto"/>
        <w:ind w:left="720"/>
      </w:pPr>
      <w:r>
        <w:rPr>
          <w:rFonts w:eastAsia="Times New Roman"/>
          <w:noProof/>
        </w:rPr>
        <mc:AlternateContent>
          <mc:Choice Requires="wps">
            <w:drawing>
              <wp:anchor distT="0" distB="0" distL="114300" distR="114300" simplePos="0" relativeHeight="251658240" behindDoc="0" locked="0" layoutInCell="1" allowOverlap="1" wp14:anchorId="4E380CAE" wp14:editId="6EF25CA5">
                <wp:simplePos x="0" y="0"/>
                <wp:positionH relativeFrom="column">
                  <wp:posOffset>11725275</wp:posOffset>
                </wp:positionH>
                <wp:positionV relativeFrom="paragraph">
                  <wp:posOffset>403860</wp:posOffset>
                </wp:positionV>
                <wp:extent cx="190500" cy="180975"/>
                <wp:effectExtent l="38100" t="19050" r="19050" b="47625"/>
                <wp:wrapNone/>
                <wp:docPr id="16" name="Straight Arrow Connector 16"/>
                <wp:cNvGraphicFramePr/>
                <a:graphic xmlns:a="http://schemas.openxmlformats.org/drawingml/2006/main">
                  <a:graphicData uri="http://schemas.microsoft.com/office/word/2010/wordprocessingShape">
                    <wps:wsp>
                      <wps:cNvCnPr/>
                      <wps:spPr>
                        <a:xfrm flipH="1">
                          <a:off x="0" y="0"/>
                          <a:ext cx="190500" cy="180975"/>
                        </a:xfrm>
                        <a:prstGeom prst="straightConnector1">
                          <a:avLst/>
                        </a:prstGeom>
                        <a:ln w="34925">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70F7E09" id="_x0000_t32" coordsize="21600,21600" o:spt="32" o:oned="t" path="m,l21600,21600e" filled="f">
                <v:path arrowok="t" fillok="f" o:connecttype="none"/>
                <o:lock v:ext="edit" shapetype="t"/>
              </v:shapetype>
              <v:shape id="Straight Arrow Connector 16" o:spid="_x0000_s1026" type="#_x0000_t32" style="position:absolute;margin-left:923.25pt;margin-top:31.8pt;width:15pt;height:14.2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" strokecolor="red" strokeweight="2.75pt">
                <v:stroke endarrow="block"/>
              </v:shape>
            </w:pict>
          </mc:Fallback>
        </mc:AlternateContent>
      </w:r>
      <w:r w:rsidR="009C7898" w:rsidRPr="009C7898">
        <w:t xml:space="preserve">As Figure </w:t>
      </w:r>
      <w:r w:rsidR="00BC4B0C">
        <w:t>JMR-3</w:t>
      </w:r>
      <w:r w:rsidR="009C7898" w:rsidRPr="009C7898">
        <w:t xml:space="preserve"> demonstrates, those risk</w:t>
      </w:r>
      <w:r w:rsidR="0006056E">
        <w:t xml:space="preserve"> </w:t>
      </w:r>
      <w:r w:rsidR="009C7898" w:rsidRPr="009C7898">
        <w:t>and vulnerability ratings are much higher than for Texas or the U.S. generally.</w:t>
      </w:r>
    </w:p>
    <w:p w14:paraId="5BF3518C" w14:textId="7FB8375F" w:rsidR="0014559E" w:rsidRPr="00D93CC6" w:rsidRDefault="00FF6185" w:rsidP="00D93CC6">
      <w:pPr>
        <w:spacing w:line="480" w:lineRule="auto"/>
        <w:ind w:left="720" w:hanging="720"/>
        <w:rPr>
          <w:b/>
          <w:bCs/>
        </w:rPr>
      </w:pPr>
      <w:r w:rsidRPr="00D93CC6">
        <w:rPr>
          <w:b/>
          <w:bCs/>
          <w:noProof/>
        </w:rPr>
        <w:lastRenderedPageBreak/>
        <mc:AlternateContent>
          <mc:Choice Requires="wps">
            <w:drawing>
              <wp:anchor distT="0" distB="0" distL="114300" distR="114300" simplePos="0" relativeHeight="251658242" behindDoc="0" locked="0" layoutInCell="1" allowOverlap="1" wp14:anchorId="0B78FF01" wp14:editId="125DCF9E">
                <wp:simplePos x="0" y="0"/>
                <wp:positionH relativeFrom="column">
                  <wp:posOffset>11630025</wp:posOffset>
                </wp:positionH>
                <wp:positionV relativeFrom="paragraph">
                  <wp:posOffset>560705</wp:posOffset>
                </wp:positionV>
                <wp:extent cx="190500" cy="180975"/>
                <wp:effectExtent l="38100" t="19050" r="28575" b="47625"/>
                <wp:wrapNone/>
                <wp:docPr id="18" name="Straight Arrow Connector 18"/>
                <wp:cNvGraphicFramePr/>
                <a:graphic xmlns:a="http://schemas.openxmlformats.org/drawingml/2006/main">
                  <a:graphicData uri="http://schemas.microsoft.com/office/word/2010/wordprocessingShape">
                    <wps:wsp>
                      <wps:cNvCnPr/>
                      <wps:spPr>
                        <a:xfrm flipH="1">
                          <a:off x="0" y="0"/>
                          <a:ext cx="190500" cy="180975"/>
                        </a:xfrm>
                        <a:prstGeom prst="straightConnector1">
                          <a:avLst/>
                        </a:prstGeom>
                        <a:ln w="34925">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F25D73" id="Straight Arrow Connector 18" o:spid="_x0000_s1026" type="#_x0000_t32" style="position:absolute;margin-left:915.75pt;margin-top:44.15pt;width:15pt;height:14.25pt;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" strokecolor="red" strokeweight="2.75pt">
                <v:stroke endarrow="block"/>
              </v:shape>
            </w:pict>
          </mc:Fallback>
        </mc:AlternateContent>
      </w:r>
      <w:r w:rsidRPr="00D93CC6">
        <w:rPr>
          <w:b/>
          <w:bCs/>
          <w:noProof/>
        </w:rPr>
        <mc:AlternateContent>
          <mc:Choice Requires="wps">
            <w:drawing>
              <wp:anchor distT="0" distB="0" distL="114300" distR="114300" simplePos="0" relativeHeight="251658243" behindDoc="0" locked="0" layoutInCell="1" allowOverlap="1" wp14:anchorId="000DDCB0" wp14:editId="03EED0B5">
                <wp:simplePos x="0" y="0"/>
                <wp:positionH relativeFrom="column">
                  <wp:posOffset>10991850</wp:posOffset>
                </wp:positionH>
                <wp:positionV relativeFrom="paragraph">
                  <wp:posOffset>122555</wp:posOffset>
                </wp:positionV>
                <wp:extent cx="190500" cy="180975"/>
                <wp:effectExtent l="38100" t="19050" r="19050" b="47625"/>
                <wp:wrapNone/>
                <wp:docPr id="19" name="Straight Arrow Connector 19"/>
                <wp:cNvGraphicFramePr/>
                <a:graphic xmlns:a="http://schemas.openxmlformats.org/drawingml/2006/main">
                  <a:graphicData uri="http://schemas.microsoft.com/office/word/2010/wordprocessingShape">
                    <wps:wsp>
                      <wps:cNvCnPr/>
                      <wps:spPr>
                        <a:xfrm flipH="1">
                          <a:off x="0" y="0"/>
                          <a:ext cx="190500" cy="180975"/>
                        </a:xfrm>
                        <a:prstGeom prst="straightConnector1">
                          <a:avLst/>
                        </a:prstGeom>
                        <a:ln w="34925">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2E7FB166" id="Straight Arrow Connector 19" o:spid="_x0000_s1026" type="#_x0000_t32" style="position:absolute;margin-left:865.5pt;margin-top:9.65pt;width:15pt;height:14.25pt;flip:x;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" strokecolor="red" strokeweight="2.75pt">
                <v:stroke endarrow="block"/>
              </v:shape>
            </w:pict>
          </mc:Fallback>
        </mc:AlternateContent>
      </w:r>
      <w:r w:rsidR="009C7898" w:rsidRPr="00D93CC6">
        <w:rPr>
          <w:b/>
          <w:bCs/>
        </w:rPr>
        <w:t>Q.</w:t>
      </w:r>
      <w:r w:rsidR="009C7898" w:rsidRPr="00D93CC6">
        <w:rPr>
          <w:b/>
          <w:bCs/>
        </w:rPr>
        <w:tab/>
        <w:t xml:space="preserve">HOW DOES THE COMBINATION OF </w:t>
      </w:r>
      <w:r w:rsidR="00294876" w:rsidRPr="00D93CC6">
        <w:rPr>
          <w:b/>
          <w:bCs/>
        </w:rPr>
        <w:t xml:space="preserve">RAPID </w:t>
      </w:r>
      <w:r w:rsidR="002C0E8D" w:rsidRPr="00D93CC6">
        <w:rPr>
          <w:b/>
          <w:bCs/>
        </w:rPr>
        <w:t xml:space="preserve">AND SUSTAINED </w:t>
      </w:r>
      <w:r w:rsidR="009C7898" w:rsidRPr="00D93CC6">
        <w:rPr>
          <w:b/>
          <w:bCs/>
        </w:rPr>
        <w:t>GROWTH AND SEVERE WEATHER AFFECT THE COMPANY?</w:t>
      </w:r>
    </w:p>
    <w:p w14:paraId="2373BBEC" w14:textId="67E2CEAD" w:rsidR="009C7898" w:rsidRDefault="00FF6185" w:rsidP="00D93CC6">
      <w:pPr>
        <w:spacing w:line="480" w:lineRule="auto"/>
        <w:ind w:left="720" w:hanging="720"/>
        <w:rPr>
          <w:b/>
        </w:rPr>
      </w:pPr>
      <w:r w:rsidRPr="00084627">
        <w:rPr>
          <w:b/>
          <w:noProof/>
        </w:rPr>
        <mc:AlternateContent>
          <mc:Choice Requires="wps">
            <w:drawing>
              <wp:anchor distT="0" distB="0" distL="114300" distR="114300" simplePos="0" relativeHeight="251658241" behindDoc="0" locked="0" layoutInCell="1" allowOverlap="1" wp14:anchorId="76690F3A" wp14:editId="6215801A">
                <wp:simplePos x="0" y="0"/>
                <wp:positionH relativeFrom="column">
                  <wp:posOffset>11401425</wp:posOffset>
                </wp:positionH>
                <wp:positionV relativeFrom="paragraph">
                  <wp:posOffset>221615</wp:posOffset>
                </wp:positionV>
                <wp:extent cx="190500" cy="180975"/>
                <wp:effectExtent l="38100" t="19050" r="19050" b="47625"/>
                <wp:wrapNone/>
                <wp:docPr id="17" name="Straight Arrow Connector 17"/>
                <wp:cNvGraphicFramePr/>
                <a:graphic xmlns:a="http://schemas.openxmlformats.org/drawingml/2006/main">
                  <a:graphicData uri="http://schemas.microsoft.com/office/word/2010/wordprocessingShape">
                    <wps:wsp>
                      <wps:cNvCnPr/>
                      <wps:spPr>
                        <a:xfrm flipH="1">
                          <a:off x="0" y="0"/>
                          <a:ext cx="190500" cy="180975"/>
                        </a:xfrm>
                        <a:prstGeom prst="straightConnector1">
                          <a:avLst/>
                        </a:prstGeom>
                        <a:ln w="34925">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DECF3CC" id="Straight Arrow Connector 17" o:spid="_x0000_s1026" type="#_x0000_t32" style="position:absolute;margin-left:897.75pt;margin-top:17.45pt;width:15pt;height:14.25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" strokecolor="red" strokeweight="2.75pt">
                <v:stroke endarrow="block"/>
              </v:shape>
            </w:pict>
          </mc:Fallback>
        </mc:AlternateContent>
      </w:r>
      <w:r w:rsidR="009C7898" w:rsidRPr="00084627">
        <w:t>A.</w:t>
      </w:r>
      <w:r w:rsidR="009C7898">
        <w:tab/>
      </w:r>
      <w:r w:rsidR="00426EC0" w:rsidRPr="0A3545C5">
        <w:t xml:space="preserve">To meet the needs of </w:t>
      </w:r>
      <w:r w:rsidR="009C7898" w:rsidRPr="0A3545C5">
        <w:t xml:space="preserve">all </w:t>
      </w:r>
      <w:r w:rsidR="4DC50501">
        <w:t>o</w:t>
      </w:r>
      <w:r w:rsidR="206FFB3F">
        <w:t>ur</w:t>
      </w:r>
      <w:r w:rsidR="00426EC0" w:rsidRPr="0A3545C5">
        <w:t xml:space="preserve"> customers</w:t>
      </w:r>
      <w:r w:rsidR="34749BDF">
        <w:t>, maintain our system,</w:t>
      </w:r>
      <w:r w:rsidR="222B2813">
        <w:t xml:space="preserve"> </w:t>
      </w:r>
      <w:r w:rsidR="5C7657CB">
        <w:t xml:space="preserve">make the grid more </w:t>
      </w:r>
      <w:r w:rsidR="1EC46D66">
        <w:t>dynamic</w:t>
      </w:r>
      <w:r w:rsidR="5C7657CB">
        <w:t>,</w:t>
      </w:r>
      <w:r w:rsidR="009C7898" w:rsidRPr="0A3545C5">
        <w:t xml:space="preserve"> and </w:t>
      </w:r>
      <w:r w:rsidR="73F5753C" w:rsidRPr="0F9C347F">
        <w:t>harden</w:t>
      </w:r>
      <w:r w:rsidR="009C7898" w:rsidRPr="0F9C347F">
        <w:t xml:space="preserve"> </w:t>
      </w:r>
      <w:r w:rsidR="009C7898" w:rsidRPr="0A3545C5">
        <w:t>our system in the face of severe weather</w:t>
      </w:r>
      <w:r w:rsidR="00426EC0" w:rsidRPr="0A3545C5">
        <w:t>, the Company has invested over $</w:t>
      </w:r>
      <w:r w:rsidR="00357C17" w:rsidRPr="0A3545C5">
        <w:t>6</w:t>
      </w:r>
      <w:r w:rsidR="00426EC0" w:rsidRPr="0A3545C5">
        <w:t xml:space="preserve"> billion </w:t>
      </w:r>
      <w:r w:rsidR="00FA57F1" w:rsidRPr="0A3545C5">
        <w:t xml:space="preserve">dedicated to </w:t>
      </w:r>
      <w:r w:rsidR="00426EC0" w:rsidRPr="0A3545C5">
        <w:t xml:space="preserve">its transmission and distribution </w:t>
      </w:r>
      <w:r w:rsidR="00F7715C" w:rsidRPr="0A3545C5">
        <w:t>operations</w:t>
      </w:r>
      <w:r w:rsidR="00426EC0" w:rsidRPr="0A3545C5">
        <w:t xml:space="preserve"> over the past five years.</w:t>
      </w:r>
      <w:r w:rsidR="009C7898" w:rsidRPr="0A3545C5">
        <w:t xml:space="preserve">  Figure </w:t>
      </w:r>
      <w:r w:rsidR="367FA405" w:rsidRPr="0079147C">
        <w:t>JMR-4</w:t>
      </w:r>
      <w:r w:rsidR="009C7898" w:rsidRPr="0A3545C5">
        <w:t xml:space="preserve"> shows CenterPoint Houston historical capital expenditures, as reported in our annual Form 10-K reports, for 2001 through 2023.</w:t>
      </w:r>
    </w:p>
    <w:p w14:paraId="2939914C" w14:textId="784F400D" w:rsidR="009C7898" w:rsidRPr="00D93CC6" w:rsidRDefault="009C7898" w:rsidP="00D93CC6">
      <w:pPr>
        <w:jc w:val="center"/>
        <w:rPr>
          <w:b/>
          <w:bCs/>
        </w:rPr>
      </w:pPr>
      <w:r w:rsidRPr="00D93CC6">
        <w:rPr>
          <w:b/>
          <w:bCs/>
        </w:rPr>
        <w:t xml:space="preserve">Figure </w:t>
      </w:r>
      <w:r w:rsidR="001402DC" w:rsidRPr="00D93CC6">
        <w:rPr>
          <w:b/>
          <w:bCs/>
        </w:rPr>
        <w:t>JMR-4</w:t>
      </w:r>
    </w:p>
    <w:p w14:paraId="3BEE0A77" w14:textId="2CD810B4" w:rsidR="009C7898" w:rsidRPr="00D93CC6" w:rsidRDefault="009C7898" w:rsidP="00D93CC6">
      <w:pPr>
        <w:jc w:val="center"/>
        <w:rPr>
          <w:b/>
          <w:bCs/>
        </w:rPr>
      </w:pPr>
      <w:r w:rsidRPr="00D93CC6">
        <w:rPr>
          <w:b/>
          <w:bCs/>
        </w:rPr>
        <w:t>Historical Capital Expenditures, 2001-2023</w:t>
      </w:r>
    </w:p>
    <w:p w14:paraId="78059690" w14:textId="77777777" w:rsidR="009C7898" w:rsidRPr="009C7898" w:rsidRDefault="009C7898" w:rsidP="00E267B2"/>
    <w:p w14:paraId="674B090C" w14:textId="46ED547E" w:rsidR="00222124" w:rsidRDefault="008430E7" w:rsidP="00222124">
      <w:pPr>
        <w:jc w:val="right"/>
      </w:pPr>
      <w:r>
        <w:rPr>
          <w:noProof/>
        </w:rPr>
        <w:drawing>
          <wp:inline distT="0" distB="0" distL="0" distR="0" wp14:anchorId="156488F2" wp14:editId="4CE66BE7">
            <wp:extent cx="5438775" cy="3271520"/>
            <wp:effectExtent l="0" t="0" r="952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8775" cy="3271520"/>
                    </a:xfrm>
                    <a:prstGeom prst="rect">
                      <a:avLst/>
                    </a:prstGeom>
                    <a:noFill/>
                  </pic:spPr>
                </pic:pic>
              </a:graphicData>
            </a:graphic>
          </wp:inline>
        </w:drawing>
      </w:r>
    </w:p>
    <w:p w14:paraId="7C56D5AE" w14:textId="77777777" w:rsidR="00222124" w:rsidRDefault="00222124" w:rsidP="003F3F06"/>
    <w:p w14:paraId="576F9B12" w14:textId="13136910" w:rsidR="00C93B6C" w:rsidRDefault="00C664C3" w:rsidP="00D93CC6">
      <w:pPr>
        <w:spacing w:line="480" w:lineRule="auto"/>
        <w:ind w:left="720"/>
        <w:rPr>
          <w:b/>
        </w:rPr>
      </w:pPr>
      <w:r w:rsidRPr="0A3545C5">
        <w:t xml:space="preserve">After electric utility unbundling in 2001, capital expenditures by CenterPoint Houston remained at or below $500 million per year through 2009. </w:t>
      </w:r>
      <w:r w:rsidR="67AB73D4">
        <w:t xml:space="preserve"> Beginning in 2010 and through </w:t>
      </w:r>
      <w:r w:rsidRPr="0A3545C5">
        <w:t>the next decade,</w:t>
      </w:r>
      <w:r w:rsidR="00A23A78" w:rsidRPr="0A3545C5">
        <w:t xml:space="preserve"> </w:t>
      </w:r>
      <w:r w:rsidR="52200F2E" w:rsidRPr="0A3545C5">
        <w:t xml:space="preserve">however, </w:t>
      </w:r>
      <w:r w:rsidR="00614775" w:rsidRPr="0A3545C5">
        <w:t xml:space="preserve">capital </w:t>
      </w:r>
      <w:r w:rsidR="00614775" w:rsidRPr="19E894F2">
        <w:t>expenditures</w:t>
      </w:r>
      <w:r w:rsidRPr="19E894F2">
        <w:t xml:space="preserve"> </w:t>
      </w:r>
      <w:r w:rsidRPr="0A3545C5">
        <w:t>would double</w:t>
      </w:r>
      <w:r w:rsidR="39C397E1" w:rsidRPr="46988BF2">
        <w:t xml:space="preserve"> </w:t>
      </w:r>
      <w:r w:rsidR="39C397E1" w:rsidRPr="36B3CA9D">
        <w:t xml:space="preserve">in </w:t>
      </w:r>
      <w:r w:rsidR="005D0883" w:rsidRPr="36B3CA9D">
        <w:t>response</w:t>
      </w:r>
      <w:r w:rsidR="39C397E1" w:rsidRPr="36B3CA9D">
        <w:t xml:space="preserve"> to </w:t>
      </w:r>
      <w:r w:rsidR="39C397E1" w:rsidRPr="5040792C">
        <w:t>a</w:t>
      </w:r>
      <w:r w:rsidR="39C397E1" w:rsidRPr="7EBC197D">
        <w:t xml:space="preserve"> 20% </w:t>
      </w:r>
      <w:r w:rsidR="39C397E1" w:rsidRPr="4465C4FE">
        <w:t xml:space="preserve">increase in the </w:t>
      </w:r>
      <w:r w:rsidR="39C397E1" w:rsidRPr="3C7343FE">
        <w:t>number of customers</w:t>
      </w:r>
      <w:r w:rsidR="39C397E1" w:rsidRPr="110E615D">
        <w:t xml:space="preserve"> served by the </w:t>
      </w:r>
      <w:r w:rsidR="39C397E1" w:rsidRPr="44031326">
        <w:t>Company</w:t>
      </w:r>
      <w:r w:rsidR="39C397E1" w:rsidRPr="73122272">
        <w:t xml:space="preserve">, a </w:t>
      </w:r>
      <w:r w:rsidR="39C397E1" w:rsidRPr="61E88793">
        <w:lastRenderedPageBreak/>
        <w:t>generational storm in</w:t>
      </w:r>
      <w:r w:rsidR="39C397E1" w:rsidRPr="241632DB">
        <w:t xml:space="preserve"> 2017 (Hurricane Harvey</w:t>
      </w:r>
      <w:r w:rsidR="39C397E1" w:rsidRPr="41AFBFED">
        <w:t xml:space="preserve">), and </w:t>
      </w:r>
      <w:r w:rsidR="39C397E1" w:rsidRPr="01374035">
        <w:t>the deploy</w:t>
      </w:r>
      <w:r w:rsidR="2BEAF8F2" w:rsidRPr="01374035">
        <w:t xml:space="preserve">ment of </w:t>
      </w:r>
      <w:r w:rsidR="2BEAF8F2" w:rsidRPr="4E8E75C6">
        <w:t xml:space="preserve">approximately 2.5 million </w:t>
      </w:r>
      <w:r w:rsidR="2BEAF8F2" w:rsidRPr="13CBEE52">
        <w:t xml:space="preserve">advanced </w:t>
      </w:r>
      <w:r w:rsidR="2BEAF8F2" w:rsidRPr="44AB5365">
        <w:t>meters</w:t>
      </w:r>
      <w:r w:rsidR="216C121D" w:rsidRPr="44AB5365">
        <w:t xml:space="preserve">, as </w:t>
      </w:r>
      <w:r w:rsidR="1FB12512">
        <w:t xml:space="preserve">explained in the Company’s previous rate case application </w:t>
      </w:r>
      <w:r w:rsidR="2FBDFA90">
        <w:t xml:space="preserve">attached </w:t>
      </w:r>
      <w:r w:rsidR="1FB12512">
        <w:t>as</w:t>
      </w:r>
      <w:r w:rsidR="7E63EA37" w:rsidRPr="44AB5365">
        <w:t xml:space="preserve"> </w:t>
      </w:r>
      <w:r w:rsidR="698E0820" w:rsidRPr="44AB5365">
        <w:t xml:space="preserve">an excerpt in </w:t>
      </w:r>
      <w:r w:rsidR="216C121D" w:rsidRPr="44AB5365">
        <w:t>Exhibit JMR-1</w:t>
      </w:r>
      <w:r w:rsidR="6159A282" w:rsidRPr="44AB5365">
        <w:t>.</w:t>
      </w:r>
      <w:r w:rsidR="007C7DBE">
        <w:rPr>
          <w:rStyle w:val="FootnoteReference"/>
        </w:rPr>
        <w:footnoteReference w:id="15"/>
      </w:r>
      <w:r w:rsidRPr="0A3545C5">
        <w:t xml:space="preserve">  </w:t>
      </w:r>
      <w:r w:rsidR="3D3481C0" w:rsidRPr="19E894F2">
        <w:t>By 2019 and 2020</w:t>
      </w:r>
      <w:r w:rsidRPr="0A3545C5">
        <w:t xml:space="preserve">, the Company’s capital expenditures exceeded $1 billion per year.  </w:t>
      </w:r>
      <w:r w:rsidR="5582504A">
        <w:t>Needed</w:t>
      </w:r>
      <w:r w:rsidRPr="0A3545C5">
        <w:t xml:space="preserve"> capital expenditures increase</w:t>
      </w:r>
      <w:r w:rsidR="00AA59BF" w:rsidRPr="0A3545C5">
        <w:t>d</w:t>
      </w:r>
      <w:r w:rsidRPr="0A3545C5">
        <w:t xml:space="preserve"> to $2.</w:t>
      </w:r>
      <w:r w:rsidR="008F7720" w:rsidRPr="0A3545C5">
        <w:t xml:space="preserve">436 billion </w:t>
      </w:r>
      <w:r w:rsidR="348B1560">
        <w:t xml:space="preserve">in </w:t>
      </w:r>
      <w:r w:rsidR="008F7720" w:rsidRPr="19E894F2">
        <w:t>2022</w:t>
      </w:r>
      <w:r w:rsidR="73C0E2F7" w:rsidRPr="19E894F2">
        <w:t xml:space="preserve"> a</w:t>
      </w:r>
      <w:r w:rsidR="008F7720" w:rsidRPr="0A3545C5">
        <w:t xml:space="preserve">nd </w:t>
      </w:r>
      <w:r w:rsidR="1C999FBA">
        <w:t>fell</w:t>
      </w:r>
      <w:r w:rsidR="008F7720" w:rsidRPr="0A3545C5">
        <w:t xml:space="preserve"> only slightly in 2023 to $2.290 billion. </w:t>
      </w:r>
      <w:r w:rsidR="007D6003" w:rsidRPr="0A3545C5">
        <w:t xml:space="preserve">To put </w:t>
      </w:r>
      <w:r w:rsidR="0060421F" w:rsidRPr="0A3545C5">
        <w:t xml:space="preserve">CenterPoint Houston’s </w:t>
      </w:r>
      <w:r w:rsidR="00690936" w:rsidRPr="0A3545C5">
        <w:t xml:space="preserve">historical </w:t>
      </w:r>
      <w:r w:rsidR="0060421F" w:rsidRPr="0A3545C5">
        <w:t xml:space="preserve">capital expenditures in perspective, </w:t>
      </w:r>
      <w:r w:rsidR="007010A3" w:rsidRPr="19E894F2">
        <w:t>Figure JMR-5</w:t>
      </w:r>
      <w:r w:rsidR="0060421F" w:rsidRPr="0A3545C5">
        <w:t xml:space="preserve"> summarizes </w:t>
      </w:r>
      <w:r w:rsidR="007F1117" w:rsidRPr="0A3545C5">
        <w:t xml:space="preserve">the capital expenditures of Houston Lighting </w:t>
      </w:r>
      <w:r w:rsidR="3DBB7C6D">
        <w:t xml:space="preserve">&amp; </w:t>
      </w:r>
      <w:r w:rsidR="007F1117" w:rsidRPr="0A3545C5">
        <w:t xml:space="preserve">Power, CenterPoint Houston’s predecessor, </w:t>
      </w:r>
      <w:r w:rsidR="000E1881" w:rsidRPr="0A3545C5">
        <w:t>in the years leading up to</w:t>
      </w:r>
      <w:r w:rsidR="00407911" w:rsidRPr="0A3545C5">
        <w:t xml:space="preserve"> </w:t>
      </w:r>
      <w:r w:rsidR="00582653" w:rsidRPr="0A3545C5">
        <w:t>the passage of S.B. 7</w:t>
      </w:r>
      <w:r w:rsidR="000D39E5" w:rsidRPr="0A3545C5">
        <w:rPr>
          <w:rStyle w:val="FootnoteReference"/>
        </w:rPr>
        <w:footnoteReference w:id="16"/>
      </w:r>
      <w:r w:rsidR="00991298" w:rsidRPr="0A3545C5">
        <w:t xml:space="preserve"> in 1999</w:t>
      </w:r>
      <w:r w:rsidR="00582653" w:rsidRPr="0A3545C5">
        <w:t xml:space="preserve">, which </w:t>
      </w:r>
      <w:r w:rsidR="001F436C" w:rsidRPr="0A3545C5">
        <w:t>required the unbundling of vertically int</w:t>
      </w:r>
      <w:r w:rsidR="00991298" w:rsidRPr="0A3545C5">
        <w:t>egrated electric utilities</w:t>
      </w:r>
      <w:r w:rsidR="00AB12CB" w:rsidRPr="0A3545C5">
        <w:t xml:space="preserve"> </w:t>
      </w:r>
      <w:r w:rsidR="005C0C8D" w:rsidRPr="0A3545C5">
        <w:t>in the ERCOT power region</w:t>
      </w:r>
      <w:r w:rsidR="0034212E" w:rsidRPr="0A3545C5">
        <w:t xml:space="preserve"> and the transition to a competitive retail electric market </w:t>
      </w:r>
      <w:r w:rsidR="00AB12CB" w:rsidRPr="0A3545C5">
        <w:t>by 2002</w:t>
      </w:r>
      <w:r w:rsidR="009E0C0B" w:rsidRPr="0A3545C5">
        <w:t>.</w:t>
      </w:r>
      <w:r w:rsidR="00AB12CB" w:rsidRPr="0A3545C5">
        <w:t xml:space="preserve"> </w:t>
      </w:r>
      <w:r w:rsidR="009E0C0B" w:rsidRPr="0A3545C5">
        <w:t>The capital expenditures below</w:t>
      </w:r>
      <w:r w:rsidR="00A51BDF" w:rsidRPr="0A3545C5">
        <w:t xml:space="preserve"> are for </w:t>
      </w:r>
      <w:r w:rsidR="00927C77" w:rsidRPr="19E894F2">
        <w:t xml:space="preserve">an integrated utility and </w:t>
      </w:r>
      <w:r w:rsidR="00B820BC" w:rsidRPr="19E894F2">
        <w:t xml:space="preserve">include </w:t>
      </w:r>
      <w:r w:rsidR="00A51BDF" w:rsidRPr="0A3545C5">
        <w:t xml:space="preserve">generating facilities, transmission facilities, distribution facilities, substation facilities, and general </w:t>
      </w:r>
      <w:bookmarkStart w:id="11" w:name="_Int_qt4LTKiv"/>
      <w:r w:rsidR="00A51BDF" w:rsidRPr="0A3545C5">
        <w:t>plant</w:t>
      </w:r>
      <w:bookmarkEnd w:id="11"/>
      <w:r w:rsidR="00A51BDF" w:rsidRPr="0A3545C5">
        <w:t>.</w:t>
      </w:r>
    </w:p>
    <w:p w14:paraId="45987D08" w14:textId="2268B2C0" w:rsidR="001402DC" w:rsidRPr="00D93CC6" w:rsidRDefault="007010A3" w:rsidP="00D93CC6">
      <w:pPr>
        <w:jc w:val="center"/>
        <w:rPr>
          <w:b/>
          <w:bCs/>
        </w:rPr>
      </w:pPr>
      <w:r w:rsidRPr="00D93CC6">
        <w:rPr>
          <w:b/>
          <w:bCs/>
        </w:rPr>
        <w:t>Figure JMR-5</w:t>
      </w:r>
    </w:p>
    <w:p w14:paraId="2844901A" w14:textId="3760A00F" w:rsidR="007010A3" w:rsidRPr="00D93CC6" w:rsidRDefault="003B6078" w:rsidP="00D93CC6">
      <w:pPr>
        <w:jc w:val="center"/>
        <w:rPr>
          <w:b/>
          <w:bCs/>
        </w:rPr>
      </w:pPr>
      <w:r w:rsidRPr="00D93CC6">
        <w:rPr>
          <w:b/>
          <w:bCs/>
        </w:rPr>
        <w:t xml:space="preserve">HL&amp;P </w:t>
      </w:r>
      <w:r w:rsidR="00215454" w:rsidRPr="00D93CC6">
        <w:rPr>
          <w:b/>
          <w:bCs/>
        </w:rPr>
        <w:t>Capital Expenditures</w:t>
      </w:r>
      <w:r w:rsidRPr="00D93CC6">
        <w:rPr>
          <w:b/>
          <w:bCs/>
        </w:rPr>
        <w:t xml:space="preserve"> (1993-1998)</w:t>
      </w:r>
    </w:p>
    <w:p w14:paraId="3ECB1519" w14:textId="77777777" w:rsidR="002A2B80" w:rsidRPr="002A2B80" w:rsidRDefault="002A2B80" w:rsidP="00D93CC6"/>
    <w:tbl>
      <w:tblPr>
        <w:tblStyle w:val="TableGrid"/>
        <w:tblW w:w="0" w:type="auto"/>
        <w:tblInd w:w="1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2"/>
        <w:gridCol w:w="6123"/>
      </w:tblGrid>
      <w:tr w:rsidR="000855C1" w14:paraId="14A586E7" w14:textId="77777777" w:rsidTr="004D3852">
        <w:tc>
          <w:tcPr>
            <w:tcW w:w="1170" w:type="dxa"/>
            <w:tcBorders>
              <w:top w:val="single" w:sz="4" w:space="0" w:color="auto"/>
              <w:left w:val="single" w:sz="4" w:space="0" w:color="auto"/>
              <w:bottom w:val="single" w:sz="4" w:space="0" w:color="auto"/>
            </w:tcBorders>
          </w:tcPr>
          <w:p w14:paraId="2009226F" w14:textId="31945A21" w:rsidR="007B755E" w:rsidRPr="00AB12CB" w:rsidRDefault="00FA2AFC" w:rsidP="003444B1">
            <w:pPr>
              <w:pStyle w:val="PCROutline1"/>
              <w:widowControl w:val="0"/>
              <w:tabs>
                <w:tab w:val="clear" w:pos="432"/>
                <w:tab w:val="clear" w:pos="3870"/>
                <w:tab w:val="left" w:pos="720"/>
              </w:tabs>
              <w:spacing w:after="0"/>
              <w:ind w:left="0" w:firstLine="0"/>
              <w:jc w:val="both"/>
              <w:outlineLvl w:val="9"/>
              <w:rPr>
                <w:sz w:val="24"/>
                <w:szCs w:val="24"/>
              </w:rPr>
            </w:pPr>
            <w:r w:rsidRPr="00AB12CB">
              <w:rPr>
                <w:sz w:val="24"/>
                <w:szCs w:val="24"/>
              </w:rPr>
              <w:t>Year</w:t>
            </w:r>
          </w:p>
        </w:tc>
        <w:tc>
          <w:tcPr>
            <w:tcW w:w="6210" w:type="dxa"/>
            <w:tcBorders>
              <w:top w:val="single" w:sz="4" w:space="0" w:color="auto"/>
              <w:bottom w:val="single" w:sz="4" w:space="0" w:color="auto"/>
              <w:right w:val="single" w:sz="4" w:space="0" w:color="auto"/>
            </w:tcBorders>
          </w:tcPr>
          <w:p w14:paraId="5CFEDDD9" w14:textId="6FA111E8" w:rsidR="007B755E" w:rsidRPr="00AB12CB" w:rsidRDefault="00FA2AFC" w:rsidP="003444B1">
            <w:pPr>
              <w:pStyle w:val="PCROutline1"/>
              <w:widowControl w:val="0"/>
              <w:tabs>
                <w:tab w:val="clear" w:pos="432"/>
                <w:tab w:val="clear" w:pos="3870"/>
                <w:tab w:val="left" w:pos="720"/>
              </w:tabs>
              <w:spacing w:after="0"/>
              <w:ind w:left="0" w:firstLine="0"/>
              <w:jc w:val="both"/>
              <w:outlineLvl w:val="9"/>
              <w:rPr>
                <w:b w:val="0"/>
                <w:bCs/>
                <w:sz w:val="24"/>
                <w:szCs w:val="24"/>
              </w:rPr>
            </w:pPr>
            <w:r w:rsidRPr="00AB12CB">
              <w:rPr>
                <w:sz w:val="24"/>
                <w:szCs w:val="24"/>
              </w:rPr>
              <w:t>Capital Expenditure</w:t>
            </w:r>
            <w:r w:rsidR="0012367A">
              <w:rPr>
                <w:sz w:val="24"/>
                <w:szCs w:val="24"/>
              </w:rPr>
              <w:t>s</w:t>
            </w:r>
          </w:p>
          <w:p w14:paraId="197ABCB1" w14:textId="1CB65925" w:rsidR="00FA2AFC" w:rsidRPr="00AB12CB" w:rsidRDefault="00FA2AFC" w:rsidP="003444B1">
            <w:pPr>
              <w:pStyle w:val="PCROutline1"/>
              <w:widowControl w:val="0"/>
              <w:tabs>
                <w:tab w:val="clear" w:pos="432"/>
                <w:tab w:val="clear" w:pos="3870"/>
                <w:tab w:val="left" w:pos="720"/>
              </w:tabs>
              <w:spacing w:after="0"/>
              <w:ind w:left="0" w:firstLine="0"/>
              <w:jc w:val="both"/>
              <w:outlineLvl w:val="9"/>
              <w:rPr>
                <w:b w:val="0"/>
                <w:bCs/>
                <w:sz w:val="24"/>
                <w:szCs w:val="24"/>
              </w:rPr>
            </w:pPr>
            <w:r w:rsidRPr="00AB12CB">
              <w:rPr>
                <w:b w:val="0"/>
                <w:bCs/>
                <w:sz w:val="24"/>
                <w:szCs w:val="24"/>
              </w:rPr>
              <w:t>(</w:t>
            </w:r>
            <w:r w:rsidR="004D243F" w:rsidRPr="00AB12CB">
              <w:rPr>
                <w:b w:val="0"/>
                <w:bCs/>
                <w:sz w:val="24"/>
                <w:szCs w:val="24"/>
              </w:rPr>
              <w:t>Excludes</w:t>
            </w:r>
            <w:r w:rsidR="00017DCD" w:rsidRPr="00AB12CB">
              <w:rPr>
                <w:b w:val="0"/>
                <w:bCs/>
                <w:sz w:val="24"/>
                <w:szCs w:val="24"/>
              </w:rPr>
              <w:t xml:space="preserve"> Allowance for Funds Used During Construction)</w:t>
            </w:r>
          </w:p>
        </w:tc>
      </w:tr>
      <w:tr w:rsidR="00744182" w14:paraId="23C30E82" w14:textId="77777777" w:rsidTr="004D3852">
        <w:tc>
          <w:tcPr>
            <w:tcW w:w="1170" w:type="dxa"/>
            <w:tcBorders>
              <w:top w:val="single" w:sz="4" w:space="0" w:color="auto"/>
              <w:left w:val="single" w:sz="4" w:space="0" w:color="auto"/>
            </w:tcBorders>
          </w:tcPr>
          <w:p w14:paraId="73B29556" w14:textId="3E03E0FD" w:rsidR="00744182" w:rsidRPr="00AB12CB" w:rsidRDefault="00744182" w:rsidP="003444B1">
            <w:pPr>
              <w:pStyle w:val="PCROutline1"/>
              <w:widowControl w:val="0"/>
              <w:tabs>
                <w:tab w:val="clear" w:pos="432"/>
                <w:tab w:val="clear" w:pos="3870"/>
                <w:tab w:val="left" w:pos="720"/>
              </w:tabs>
              <w:spacing w:after="0"/>
              <w:ind w:left="0" w:firstLine="0"/>
              <w:jc w:val="both"/>
              <w:outlineLvl w:val="9"/>
              <w:rPr>
                <w:b w:val="0"/>
                <w:bCs/>
                <w:sz w:val="24"/>
                <w:szCs w:val="24"/>
              </w:rPr>
            </w:pPr>
            <w:r w:rsidRPr="00AB12CB">
              <w:rPr>
                <w:b w:val="0"/>
                <w:bCs/>
                <w:sz w:val="24"/>
                <w:szCs w:val="24"/>
              </w:rPr>
              <w:t>1993</w:t>
            </w:r>
          </w:p>
        </w:tc>
        <w:tc>
          <w:tcPr>
            <w:tcW w:w="6210" w:type="dxa"/>
            <w:tcBorders>
              <w:top w:val="single" w:sz="4" w:space="0" w:color="auto"/>
              <w:right w:val="single" w:sz="4" w:space="0" w:color="auto"/>
            </w:tcBorders>
          </w:tcPr>
          <w:p w14:paraId="2517F948" w14:textId="631DAA67" w:rsidR="00744182" w:rsidRPr="00AB12CB" w:rsidRDefault="00744182" w:rsidP="003444B1">
            <w:pPr>
              <w:pStyle w:val="PCROutline1"/>
              <w:widowControl w:val="0"/>
              <w:tabs>
                <w:tab w:val="clear" w:pos="432"/>
                <w:tab w:val="clear" w:pos="3870"/>
                <w:tab w:val="left" w:pos="720"/>
              </w:tabs>
              <w:spacing w:after="0"/>
              <w:ind w:left="0" w:firstLine="0"/>
              <w:jc w:val="both"/>
              <w:outlineLvl w:val="9"/>
              <w:rPr>
                <w:b w:val="0"/>
                <w:bCs/>
                <w:sz w:val="24"/>
                <w:szCs w:val="24"/>
              </w:rPr>
            </w:pPr>
            <w:r w:rsidRPr="00AB12CB">
              <w:rPr>
                <w:b w:val="0"/>
                <w:bCs/>
                <w:sz w:val="24"/>
                <w:szCs w:val="24"/>
              </w:rPr>
              <w:t>$</w:t>
            </w:r>
            <w:r w:rsidR="009E0C0B" w:rsidRPr="00AB12CB">
              <w:rPr>
                <w:b w:val="0"/>
                <w:bCs/>
                <w:sz w:val="24"/>
                <w:szCs w:val="24"/>
              </w:rPr>
              <w:t>329 million (includes nuclear fuel)</w:t>
            </w:r>
          </w:p>
        </w:tc>
      </w:tr>
      <w:tr w:rsidR="000855C1" w14:paraId="566A0387" w14:textId="77777777" w:rsidTr="004D3852">
        <w:tc>
          <w:tcPr>
            <w:tcW w:w="1170" w:type="dxa"/>
            <w:tcBorders>
              <w:left w:val="single" w:sz="4" w:space="0" w:color="auto"/>
            </w:tcBorders>
          </w:tcPr>
          <w:p w14:paraId="2D351307" w14:textId="427D4749" w:rsidR="007B755E" w:rsidRPr="00AB12CB" w:rsidRDefault="00E92354" w:rsidP="003444B1">
            <w:pPr>
              <w:pStyle w:val="PCROutline1"/>
              <w:widowControl w:val="0"/>
              <w:tabs>
                <w:tab w:val="clear" w:pos="432"/>
                <w:tab w:val="clear" w:pos="3870"/>
                <w:tab w:val="left" w:pos="720"/>
              </w:tabs>
              <w:spacing w:after="0"/>
              <w:ind w:left="0" w:firstLine="0"/>
              <w:jc w:val="both"/>
              <w:outlineLvl w:val="9"/>
              <w:rPr>
                <w:b w:val="0"/>
                <w:bCs/>
                <w:sz w:val="24"/>
                <w:szCs w:val="24"/>
              </w:rPr>
            </w:pPr>
            <w:r w:rsidRPr="00AB12CB">
              <w:rPr>
                <w:b w:val="0"/>
                <w:bCs/>
                <w:sz w:val="24"/>
                <w:szCs w:val="24"/>
              </w:rPr>
              <w:t>1994</w:t>
            </w:r>
          </w:p>
        </w:tc>
        <w:tc>
          <w:tcPr>
            <w:tcW w:w="6210" w:type="dxa"/>
            <w:tcBorders>
              <w:right w:val="single" w:sz="4" w:space="0" w:color="auto"/>
            </w:tcBorders>
          </w:tcPr>
          <w:p w14:paraId="6827B57A" w14:textId="579F7BFB" w:rsidR="007B755E" w:rsidRPr="00AB12CB" w:rsidRDefault="00744182" w:rsidP="003444B1">
            <w:pPr>
              <w:pStyle w:val="PCROutline1"/>
              <w:widowControl w:val="0"/>
              <w:tabs>
                <w:tab w:val="clear" w:pos="432"/>
                <w:tab w:val="clear" w:pos="3870"/>
                <w:tab w:val="left" w:pos="720"/>
              </w:tabs>
              <w:spacing w:after="0"/>
              <w:ind w:left="0" w:firstLine="0"/>
              <w:jc w:val="both"/>
              <w:outlineLvl w:val="9"/>
              <w:rPr>
                <w:b w:val="0"/>
                <w:bCs/>
                <w:sz w:val="24"/>
                <w:szCs w:val="24"/>
              </w:rPr>
            </w:pPr>
            <w:r w:rsidRPr="00AB12CB">
              <w:rPr>
                <w:b w:val="0"/>
                <w:bCs/>
                <w:sz w:val="24"/>
                <w:szCs w:val="24"/>
              </w:rPr>
              <w:t>$413 million</w:t>
            </w:r>
          </w:p>
        </w:tc>
      </w:tr>
      <w:tr w:rsidR="000855C1" w14:paraId="77490AFE" w14:textId="77777777" w:rsidTr="004D3852">
        <w:tc>
          <w:tcPr>
            <w:tcW w:w="1170" w:type="dxa"/>
            <w:tcBorders>
              <w:left w:val="single" w:sz="4" w:space="0" w:color="auto"/>
            </w:tcBorders>
          </w:tcPr>
          <w:p w14:paraId="3C1635B3" w14:textId="69B6CFE3" w:rsidR="007B755E" w:rsidRPr="00AB12CB" w:rsidRDefault="00E92354" w:rsidP="003444B1">
            <w:pPr>
              <w:pStyle w:val="PCROutline1"/>
              <w:widowControl w:val="0"/>
              <w:tabs>
                <w:tab w:val="clear" w:pos="432"/>
                <w:tab w:val="clear" w:pos="3870"/>
                <w:tab w:val="left" w:pos="720"/>
              </w:tabs>
              <w:spacing w:after="0"/>
              <w:ind w:left="0" w:firstLine="0"/>
              <w:jc w:val="both"/>
              <w:outlineLvl w:val="9"/>
              <w:rPr>
                <w:b w:val="0"/>
                <w:bCs/>
                <w:sz w:val="24"/>
                <w:szCs w:val="24"/>
              </w:rPr>
            </w:pPr>
            <w:r w:rsidRPr="00AB12CB">
              <w:rPr>
                <w:b w:val="0"/>
                <w:bCs/>
                <w:sz w:val="24"/>
                <w:szCs w:val="24"/>
              </w:rPr>
              <w:t>1995</w:t>
            </w:r>
          </w:p>
        </w:tc>
        <w:tc>
          <w:tcPr>
            <w:tcW w:w="6210" w:type="dxa"/>
            <w:tcBorders>
              <w:right w:val="single" w:sz="4" w:space="0" w:color="auto"/>
            </w:tcBorders>
          </w:tcPr>
          <w:p w14:paraId="3B16DDD5" w14:textId="569D4D90" w:rsidR="007B755E" w:rsidRPr="00AB12CB" w:rsidRDefault="002D30F5" w:rsidP="003444B1">
            <w:pPr>
              <w:pStyle w:val="PCROutline1"/>
              <w:widowControl w:val="0"/>
              <w:tabs>
                <w:tab w:val="clear" w:pos="432"/>
                <w:tab w:val="clear" w:pos="3870"/>
                <w:tab w:val="left" w:pos="720"/>
              </w:tabs>
              <w:spacing w:after="0"/>
              <w:ind w:left="0" w:firstLine="0"/>
              <w:jc w:val="both"/>
              <w:outlineLvl w:val="9"/>
              <w:rPr>
                <w:b w:val="0"/>
                <w:bCs/>
                <w:sz w:val="24"/>
                <w:szCs w:val="24"/>
              </w:rPr>
            </w:pPr>
            <w:r>
              <w:rPr>
                <w:b w:val="0"/>
                <w:bCs/>
                <w:sz w:val="24"/>
                <w:szCs w:val="24"/>
              </w:rPr>
              <w:t>$392 million (includes nuclear fuel)</w:t>
            </w:r>
          </w:p>
        </w:tc>
      </w:tr>
      <w:tr w:rsidR="000855C1" w14:paraId="080FA9D9" w14:textId="77777777" w:rsidTr="004D3852">
        <w:tc>
          <w:tcPr>
            <w:tcW w:w="1170" w:type="dxa"/>
            <w:tcBorders>
              <w:left w:val="single" w:sz="4" w:space="0" w:color="auto"/>
            </w:tcBorders>
          </w:tcPr>
          <w:p w14:paraId="4837B194" w14:textId="4F64C0D9" w:rsidR="007B755E" w:rsidRPr="00AB12CB" w:rsidRDefault="00E92354" w:rsidP="003444B1">
            <w:pPr>
              <w:pStyle w:val="PCROutline1"/>
              <w:widowControl w:val="0"/>
              <w:tabs>
                <w:tab w:val="clear" w:pos="432"/>
                <w:tab w:val="clear" w:pos="3870"/>
                <w:tab w:val="left" w:pos="720"/>
              </w:tabs>
              <w:spacing w:after="0"/>
              <w:ind w:left="0" w:firstLine="0"/>
              <w:jc w:val="both"/>
              <w:outlineLvl w:val="9"/>
              <w:rPr>
                <w:b w:val="0"/>
                <w:bCs/>
                <w:sz w:val="24"/>
                <w:szCs w:val="24"/>
              </w:rPr>
            </w:pPr>
            <w:r w:rsidRPr="00AB12CB">
              <w:rPr>
                <w:b w:val="0"/>
                <w:bCs/>
                <w:sz w:val="24"/>
                <w:szCs w:val="24"/>
              </w:rPr>
              <w:t>1996</w:t>
            </w:r>
          </w:p>
        </w:tc>
        <w:tc>
          <w:tcPr>
            <w:tcW w:w="6210" w:type="dxa"/>
            <w:tcBorders>
              <w:right w:val="single" w:sz="4" w:space="0" w:color="auto"/>
            </w:tcBorders>
          </w:tcPr>
          <w:p w14:paraId="1BA4459F" w14:textId="323CCF52" w:rsidR="007B755E" w:rsidRPr="00AB12CB" w:rsidRDefault="006633DD" w:rsidP="003444B1">
            <w:pPr>
              <w:pStyle w:val="PCROutline1"/>
              <w:widowControl w:val="0"/>
              <w:tabs>
                <w:tab w:val="clear" w:pos="432"/>
                <w:tab w:val="clear" w:pos="3870"/>
                <w:tab w:val="left" w:pos="720"/>
              </w:tabs>
              <w:spacing w:after="0"/>
              <w:ind w:left="0" w:firstLine="0"/>
              <w:jc w:val="both"/>
              <w:outlineLvl w:val="9"/>
              <w:rPr>
                <w:b w:val="0"/>
                <w:bCs/>
                <w:sz w:val="24"/>
                <w:szCs w:val="24"/>
              </w:rPr>
            </w:pPr>
            <w:r>
              <w:rPr>
                <w:b w:val="0"/>
                <w:bCs/>
                <w:sz w:val="24"/>
                <w:szCs w:val="24"/>
              </w:rPr>
              <w:t>$383 million</w:t>
            </w:r>
          </w:p>
        </w:tc>
      </w:tr>
      <w:tr w:rsidR="000855C1" w14:paraId="0ABF7C72" w14:textId="77777777" w:rsidTr="004D3852">
        <w:tc>
          <w:tcPr>
            <w:tcW w:w="1170" w:type="dxa"/>
            <w:tcBorders>
              <w:left w:val="single" w:sz="4" w:space="0" w:color="auto"/>
            </w:tcBorders>
          </w:tcPr>
          <w:p w14:paraId="5BF3AF70" w14:textId="0C23DA2E" w:rsidR="007B755E" w:rsidRPr="00AB12CB" w:rsidRDefault="00E92354" w:rsidP="003444B1">
            <w:pPr>
              <w:pStyle w:val="PCROutline1"/>
              <w:widowControl w:val="0"/>
              <w:tabs>
                <w:tab w:val="clear" w:pos="432"/>
                <w:tab w:val="clear" w:pos="3870"/>
                <w:tab w:val="left" w:pos="720"/>
              </w:tabs>
              <w:spacing w:after="0"/>
              <w:ind w:left="0" w:firstLine="0"/>
              <w:jc w:val="both"/>
              <w:outlineLvl w:val="9"/>
              <w:rPr>
                <w:b w:val="0"/>
                <w:bCs/>
                <w:sz w:val="24"/>
                <w:szCs w:val="24"/>
              </w:rPr>
            </w:pPr>
            <w:r w:rsidRPr="00AB12CB">
              <w:rPr>
                <w:b w:val="0"/>
                <w:bCs/>
                <w:sz w:val="24"/>
                <w:szCs w:val="24"/>
              </w:rPr>
              <w:t>1997</w:t>
            </w:r>
          </w:p>
        </w:tc>
        <w:tc>
          <w:tcPr>
            <w:tcW w:w="6210" w:type="dxa"/>
            <w:tcBorders>
              <w:right w:val="single" w:sz="4" w:space="0" w:color="auto"/>
            </w:tcBorders>
          </w:tcPr>
          <w:p w14:paraId="2E9E5213" w14:textId="60B07B86" w:rsidR="007B755E" w:rsidRPr="00AB12CB" w:rsidRDefault="005A51DC" w:rsidP="003444B1">
            <w:pPr>
              <w:pStyle w:val="PCROutline1"/>
              <w:widowControl w:val="0"/>
              <w:tabs>
                <w:tab w:val="clear" w:pos="432"/>
                <w:tab w:val="clear" w:pos="3870"/>
                <w:tab w:val="left" w:pos="720"/>
              </w:tabs>
              <w:spacing w:after="0"/>
              <w:ind w:left="0" w:firstLine="0"/>
              <w:jc w:val="both"/>
              <w:outlineLvl w:val="9"/>
              <w:rPr>
                <w:b w:val="0"/>
                <w:bCs/>
                <w:sz w:val="24"/>
                <w:szCs w:val="24"/>
              </w:rPr>
            </w:pPr>
            <w:r>
              <w:rPr>
                <w:b w:val="0"/>
                <w:bCs/>
                <w:sz w:val="24"/>
                <w:szCs w:val="24"/>
              </w:rPr>
              <w:t>$234 million</w:t>
            </w:r>
          </w:p>
        </w:tc>
      </w:tr>
      <w:tr w:rsidR="000855C1" w14:paraId="50C7DA93" w14:textId="77777777" w:rsidTr="004D3852">
        <w:tc>
          <w:tcPr>
            <w:tcW w:w="1170" w:type="dxa"/>
            <w:tcBorders>
              <w:left w:val="single" w:sz="4" w:space="0" w:color="auto"/>
              <w:bottom w:val="single" w:sz="4" w:space="0" w:color="auto"/>
            </w:tcBorders>
          </w:tcPr>
          <w:p w14:paraId="6F15D736" w14:textId="6661A9A9" w:rsidR="007B755E" w:rsidRPr="00AB12CB" w:rsidRDefault="00E92354" w:rsidP="003444B1">
            <w:pPr>
              <w:pStyle w:val="PCROutline1"/>
              <w:widowControl w:val="0"/>
              <w:tabs>
                <w:tab w:val="clear" w:pos="432"/>
                <w:tab w:val="clear" w:pos="3870"/>
                <w:tab w:val="left" w:pos="720"/>
              </w:tabs>
              <w:spacing w:after="0"/>
              <w:ind w:left="0" w:firstLine="0"/>
              <w:jc w:val="both"/>
              <w:outlineLvl w:val="9"/>
              <w:rPr>
                <w:b w:val="0"/>
                <w:bCs/>
                <w:sz w:val="24"/>
                <w:szCs w:val="24"/>
              </w:rPr>
            </w:pPr>
            <w:r w:rsidRPr="00AB12CB">
              <w:rPr>
                <w:b w:val="0"/>
                <w:bCs/>
                <w:sz w:val="24"/>
                <w:szCs w:val="24"/>
              </w:rPr>
              <w:t>1998</w:t>
            </w:r>
          </w:p>
        </w:tc>
        <w:tc>
          <w:tcPr>
            <w:tcW w:w="6210" w:type="dxa"/>
            <w:tcBorders>
              <w:bottom w:val="single" w:sz="4" w:space="0" w:color="auto"/>
              <w:right w:val="single" w:sz="4" w:space="0" w:color="auto"/>
            </w:tcBorders>
          </w:tcPr>
          <w:p w14:paraId="33EE1C7E" w14:textId="543547B5" w:rsidR="007B755E" w:rsidRPr="00AB12CB" w:rsidRDefault="00363DF3" w:rsidP="003444B1">
            <w:pPr>
              <w:pStyle w:val="PCROutline1"/>
              <w:widowControl w:val="0"/>
              <w:tabs>
                <w:tab w:val="clear" w:pos="432"/>
                <w:tab w:val="clear" w:pos="3870"/>
                <w:tab w:val="left" w:pos="720"/>
              </w:tabs>
              <w:spacing w:after="0"/>
              <w:ind w:left="0" w:firstLine="0"/>
              <w:jc w:val="both"/>
              <w:outlineLvl w:val="9"/>
              <w:rPr>
                <w:b w:val="0"/>
                <w:bCs/>
                <w:sz w:val="24"/>
                <w:szCs w:val="24"/>
              </w:rPr>
            </w:pPr>
            <w:r>
              <w:rPr>
                <w:b w:val="0"/>
                <w:bCs/>
                <w:sz w:val="24"/>
                <w:szCs w:val="24"/>
              </w:rPr>
              <w:t>$429 million</w:t>
            </w:r>
          </w:p>
        </w:tc>
      </w:tr>
    </w:tbl>
    <w:p w14:paraId="1E438E23" w14:textId="77777777" w:rsidR="00407911" w:rsidRDefault="00407911" w:rsidP="004D3852"/>
    <w:p w14:paraId="1DB9CFE4" w14:textId="1243B8DC" w:rsidR="008F7720" w:rsidRPr="00D93CC6" w:rsidRDefault="008F7720" w:rsidP="00D93CC6">
      <w:pPr>
        <w:spacing w:line="480" w:lineRule="auto"/>
        <w:ind w:left="720" w:hanging="720"/>
        <w:rPr>
          <w:b/>
          <w:bCs/>
        </w:rPr>
      </w:pPr>
      <w:r w:rsidRPr="00D93CC6">
        <w:rPr>
          <w:b/>
          <w:bCs/>
        </w:rPr>
        <w:t>Q.</w:t>
      </w:r>
      <w:r w:rsidRPr="00D93CC6">
        <w:rPr>
          <w:b/>
          <w:bCs/>
        </w:rPr>
        <w:tab/>
        <w:t>WHAT LEVEL OF ANNUAL CAPITAL INVESTMENT DOES THE COMPANY ANTICIPATE GOING FORWARD?</w:t>
      </w:r>
    </w:p>
    <w:p w14:paraId="27615F73" w14:textId="2A8E7896" w:rsidR="0C473D7B" w:rsidRDefault="008F7720" w:rsidP="00D93CC6">
      <w:pPr>
        <w:spacing w:line="480" w:lineRule="auto"/>
        <w:ind w:left="720" w:hanging="720"/>
        <w:rPr>
          <w:b/>
        </w:rPr>
      </w:pPr>
      <w:r>
        <w:lastRenderedPageBreak/>
        <w:t>A.</w:t>
      </w:r>
      <w:r>
        <w:tab/>
        <w:t xml:space="preserve">In our most recent annual report, the Company estimates that its annual capital </w:t>
      </w:r>
      <w:bookmarkStart w:id="12" w:name="_Int_bG9OUZp8"/>
      <w:r>
        <w:t>expenditures</w:t>
      </w:r>
      <w:bookmarkEnd w:id="12"/>
      <w:r>
        <w:t xml:space="preserve"> over the next five years will average </w:t>
      </w:r>
      <w:r w:rsidRPr="008F7720">
        <w:t>nearly</w:t>
      </w:r>
      <w:r>
        <w:t xml:space="preserve"> </w:t>
      </w:r>
      <w:r w:rsidR="00452507">
        <w:t>$</w:t>
      </w:r>
      <w:r>
        <w:t>2.56 billion per year</w:t>
      </w:r>
      <w:r w:rsidR="0093608F">
        <w:t>, as shown in Figure JMR-6</w:t>
      </w:r>
      <w:r>
        <w:t>.</w:t>
      </w:r>
      <w:r w:rsidR="00302C95">
        <w:t xml:space="preserve"> </w:t>
      </w:r>
    </w:p>
    <w:p w14:paraId="68C3BE95" w14:textId="18DF78A9" w:rsidR="008F7720" w:rsidRPr="00D93CC6" w:rsidRDefault="008F7720" w:rsidP="00D93CC6">
      <w:pPr>
        <w:jc w:val="center"/>
        <w:rPr>
          <w:b/>
          <w:bCs/>
        </w:rPr>
      </w:pPr>
      <w:r w:rsidRPr="00D93CC6">
        <w:rPr>
          <w:b/>
          <w:bCs/>
        </w:rPr>
        <w:t xml:space="preserve">Figure </w:t>
      </w:r>
      <w:r w:rsidR="00057FA7" w:rsidRPr="00D93CC6">
        <w:rPr>
          <w:b/>
          <w:bCs/>
        </w:rPr>
        <w:t>JMR-6</w:t>
      </w:r>
    </w:p>
    <w:p w14:paraId="66DCB80F" w14:textId="0CD31B8A" w:rsidR="008F7720" w:rsidRPr="00D93CC6" w:rsidRDefault="009A0270" w:rsidP="00D93CC6">
      <w:pPr>
        <w:jc w:val="center"/>
        <w:rPr>
          <w:b/>
          <w:bCs/>
        </w:rPr>
      </w:pPr>
      <w:r w:rsidRPr="00D93CC6">
        <w:rPr>
          <w:b/>
          <w:bCs/>
        </w:rPr>
        <w:t xml:space="preserve">CEHE </w:t>
      </w:r>
      <w:r w:rsidR="008F7720" w:rsidRPr="00D93CC6">
        <w:rPr>
          <w:b/>
          <w:bCs/>
        </w:rPr>
        <w:t>Projected Capital Expenditures</w:t>
      </w:r>
      <w:r w:rsidRPr="00D93CC6">
        <w:rPr>
          <w:b/>
          <w:bCs/>
        </w:rPr>
        <w:t xml:space="preserve"> (</w:t>
      </w:r>
      <w:r w:rsidR="008F7720" w:rsidRPr="00D93CC6">
        <w:rPr>
          <w:b/>
          <w:bCs/>
        </w:rPr>
        <w:t>2024-2028</w:t>
      </w:r>
      <w:r w:rsidRPr="00D93CC6">
        <w:rPr>
          <w:b/>
          <w:bCs/>
        </w:rPr>
        <w:t>)</w:t>
      </w:r>
    </w:p>
    <w:p w14:paraId="49F8DED8" w14:textId="77777777" w:rsidR="00514ED6" w:rsidRPr="00057FA7" w:rsidRDefault="00514ED6" w:rsidP="00D93CC6"/>
    <w:tbl>
      <w:tblPr>
        <w:tblW w:w="7955" w:type="dxa"/>
        <w:tblInd w:w="72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49"/>
        <w:gridCol w:w="6206"/>
      </w:tblGrid>
      <w:tr w:rsidR="00514ED6" w:rsidRPr="00614775" w14:paraId="6CFA7A89" w14:textId="77777777" w:rsidTr="6E041BEC">
        <w:trPr>
          <w:trHeight w:val="290"/>
        </w:trPr>
        <w:tc>
          <w:tcPr>
            <w:tcW w:w="1749" w:type="dxa"/>
            <w:tcBorders>
              <w:top w:val="single" w:sz="4" w:space="0" w:color="auto"/>
              <w:bottom w:val="single" w:sz="4" w:space="0" w:color="auto"/>
            </w:tcBorders>
            <w:shd w:val="clear" w:color="auto" w:fill="auto"/>
            <w:noWrap/>
            <w:vAlign w:val="bottom"/>
            <w:hideMark/>
          </w:tcPr>
          <w:p w14:paraId="36A69580" w14:textId="1970D86D" w:rsidR="00514ED6" w:rsidRPr="009A0270" w:rsidRDefault="2EEC6FF0" w:rsidP="000843C3">
            <w:pPr>
              <w:jc w:val="left"/>
              <w:rPr>
                <w:rFonts w:eastAsia="Times New Roman"/>
                <w:b/>
                <w:color w:val="000000"/>
              </w:rPr>
            </w:pPr>
            <w:r w:rsidRPr="0BE19FC3">
              <w:rPr>
                <w:rFonts w:eastAsia="Times New Roman"/>
                <w:b/>
                <w:bCs/>
                <w:color w:val="000000" w:themeColor="text1"/>
              </w:rPr>
              <w:t>Year</w:t>
            </w:r>
          </w:p>
        </w:tc>
        <w:tc>
          <w:tcPr>
            <w:tcW w:w="6206" w:type="dxa"/>
            <w:tcBorders>
              <w:top w:val="single" w:sz="4" w:space="0" w:color="auto"/>
              <w:bottom w:val="single" w:sz="4" w:space="0" w:color="auto"/>
            </w:tcBorders>
            <w:shd w:val="clear" w:color="auto" w:fill="auto"/>
            <w:noWrap/>
            <w:vAlign w:val="bottom"/>
            <w:hideMark/>
          </w:tcPr>
          <w:p w14:paraId="2FC21BB4" w14:textId="0921D186" w:rsidR="00514ED6" w:rsidRPr="009A0270" w:rsidRDefault="00514ED6" w:rsidP="0BE19FC3">
            <w:pPr>
              <w:jc w:val="left"/>
              <w:rPr>
                <w:rFonts w:eastAsia="Times New Roman"/>
                <w:b/>
                <w:color w:val="000000"/>
              </w:rPr>
            </w:pPr>
            <w:r w:rsidRPr="6E041BEC">
              <w:rPr>
                <w:rFonts w:eastAsia="Times New Roman"/>
                <w:b/>
                <w:color w:val="000000" w:themeColor="text1"/>
              </w:rPr>
              <w:t xml:space="preserve">Projected Capital </w:t>
            </w:r>
            <w:r w:rsidR="5B2600CA" w:rsidRPr="6E041BEC">
              <w:rPr>
                <w:rFonts w:eastAsia="Times New Roman"/>
                <w:b/>
                <w:bCs/>
                <w:color w:val="000000" w:themeColor="text1"/>
              </w:rPr>
              <w:t>Expenditures</w:t>
            </w:r>
          </w:p>
        </w:tc>
      </w:tr>
      <w:tr w:rsidR="00514ED6" w:rsidRPr="00614775" w14:paraId="24AE0E9B" w14:textId="77777777" w:rsidTr="6E041BEC">
        <w:trPr>
          <w:trHeight w:val="290"/>
        </w:trPr>
        <w:tc>
          <w:tcPr>
            <w:tcW w:w="1749" w:type="dxa"/>
            <w:tcBorders>
              <w:top w:val="single" w:sz="4" w:space="0" w:color="auto"/>
            </w:tcBorders>
            <w:shd w:val="clear" w:color="auto" w:fill="auto"/>
            <w:noWrap/>
            <w:vAlign w:val="bottom"/>
            <w:hideMark/>
          </w:tcPr>
          <w:p w14:paraId="603BCCEF" w14:textId="644B96F1" w:rsidR="00514ED6" w:rsidRPr="009A0270" w:rsidRDefault="2EEC6FF0" w:rsidP="000843C3">
            <w:pPr>
              <w:jc w:val="left"/>
              <w:rPr>
                <w:rFonts w:eastAsia="Times New Roman"/>
                <w:color w:val="000000"/>
              </w:rPr>
            </w:pPr>
            <w:r w:rsidRPr="0BE19FC3">
              <w:rPr>
                <w:rFonts w:eastAsia="Times New Roman"/>
                <w:color w:val="000000" w:themeColor="text1"/>
              </w:rPr>
              <w:t>2024</w:t>
            </w:r>
          </w:p>
        </w:tc>
        <w:tc>
          <w:tcPr>
            <w:tcW w:w="6206" w:type="dxa"/>
            <w:tcBorders>
              <w:top w:val="single" w:sz="4" w:space="0" w:color="auto"/>
            </w:tcBorders>
            <w:shd w:val="clear" w:color="auto" w:fill="auto"/>
            <w:noWrap/>
            <w:vAlign w:val="bottom"/>
            <w:hideMark/>
          </w:tcPr>
          <w:p w14:paraId="7131CDB4" w14:textId="0B5B39DE" w:rsidR="00514ED6" w:rsidRPr="009A0270" w:rsidRDefault="00514ED6" w:rsidP="0BE19FC3">
            <w:pPr>
              <w:jc w:val="left"/>
              <w:rPr>
                <w:rFonts w:eastAsia="Times New Roman"/>
                <w:color w:val="000000"/>
              </w:rPr>
            </w:pPr>
            <w:r w:rsidRPr="009A0270">
              <w:rPr>
                <w:rFonts w:eastAsia="Times New Roman"/>
                <w:color w:val="000000" w:themeColor="text1"/>
              </w:rPr>
              <w:t xml:space="preserve">$1,895 </w:t>
            </w:r>
            <w:r>
              <w:rPr>
                <w:rFonts w:eastAsia="Times New Roman"/>
                <w:color w:val="000000" w:themeColor="text1"/>
              </w:rPr>
              <w:t>million</w:t>
            </w:r>
          </w:p>
        </w:tc>
      </w:tr>
      <w:tr w:rsidR="00514ED6" w:rsidRPr="00614775" w14:paraId="7091A9B9" w14:textId="77777777" w:rsidTr="6E041BEC">
        <w:trPr>
          <w:trHeight w:val="290"/>
        </w:trPr>
        <w:tc>
          <w:tcPr>
            <w:tcW w:w="1749" w:type="dxa"/>
            <w:shd w:val="clear" w:color="auto" w:fill="auto"/>
            <w:noWrap/>
            <w:vAlign w:val="bottom"/>
          </w:tcPr>
          <w:p w14:paraId="4592AB41" w14:textId="2EE01BD0" w:rsidR="00514ED6" w:rsidRPr="009A0270" w:rsidDel="009A0270" w:rsidRDefault="00514ED6" w:rsidP="000843C3">
            <w:pPr>
              <w:jc w:val="left"/>
              <w:rPr>
                <w:rFonts w:eastAsia="Times New Roman"/>
                <w:color w:val="000000"/>
              </w:rPr>
            </w:pPr>
            <w:r w:rsidRPr="0BE19FC3">
              <w:rPr>
                <w:rFonts w:eastAsia="Times New Roman"/>
                <w:color w:val="000000" w:themeColor="text1"/>
              </w:rPr>
              <w:t>2025</w:t>
            </w:r>
          </w:p>
        </w:tc>
        <w:tc>
          <w:tcPr>
            <w:tcW w:w="6206" w:type="dxa"/>
            <w:shd w:val="clear" w:color="auto" w:fill="auto"/>
            <w:noWrap/>
            <w:vAlign w:val="bottom"/>
          </w:tcPr>
          <w:p w14:paraId="26C0A811" w14:textId="230CBB4D" w:rsidR="00514ED6" w:rsidRPr="009A0270" w:rsidRDefault="00514ED6" w:rsidP="0BE19FC3">
            <w:pPr>
              <w:jc w:val="left"/>
              <w:rPr>
                <w:rFonts w:eastAsia="Times New Roman"/>
                <w:color w:val="000000" w:themeColor="text1"/>
              </w:rPr>
            </w:pPr>
            <w:r w:rsidRPr="0BE19FC3">
              <w:rPr>
                <w:rFonts w:eastAsia="Times New Roman"/>
                <w:color w:val="000000" w:themeColor="text1"/>
              </w:rPr>
              <w:t>$2,598 million</w:t>
            </w:r>
          </w:p>
        </w:tc>
      </w:tr>
      <w:tr w:rsidR="00514ED6" w:rsidRPr="00614775" w14:paraId="35429A64" w14:textId="77777777" w:rsidTr="6E041BEC">
        <w:trPr>
          <w:trHeight w:val="290"/>
        </w:trPr>
        <w:tc>
          <w:tcPr>
            <w:tcW w:w="1749" w:type="dxa"/>
            <w:shd w:val="clear" w:color="auto" w:fill="auto"/>
            <w:noWrap/>
            <w:vAlign w:val="bottom"/>
          </w:tcPr>
          <w:p w14:paraId="64AEA574" w14:textId="377028BD" w:rsidR="00514ED6" w:rsidRPr="009A0270" w:rsidDel="009A0270" w:rsidRDefault="00514ED6" w:rsidP="000843C3">
            <w:pPr>
              <w:jc w:val="left"/>
              <w:rPr>
                <w:rFonts w:eastAsia="Times New Roman"/>
                <w:color w:val="000000"/>
              </w:rPr>
            </w:pPr>
            <w:r w:rsidRPr="0BE19FC3">
              <w:rPr>
                <w:rFonts w:eastAsia="Times New Roman"/>
                <w:color w:val="000000" w:themeColor="text1"/>
              </w:rPr>
              <w:t>2026</w:t>
            </w:r>
          </w:p>
        </w:tc>
        <w:tc>
          <w:tcPr>
            <w:tcW w:w="6206" w:type="dxa"/>
            <w:shd w:val="clear" w:color="auto" w:fill="auto"/>
            <w:noWrap/>
            <w:vAlign w:val="bottom"/>
          </w:tcPr>
          <w:p w14:paraId="1B0E48DB" w14:textId="45E311E0" w:rsidR="00514ED6" w:rsidRPr="009A0270" w:rsidRDefault="00514ED6" w:rsidP="0BE19FC3">
            <w:pPr>
              <w:jc w:val="left"/>
              <w:rPr>
                <w:rFonts w:eastAsia="Times New Roman"/>
                <w:color w:val="000000" w:themeColor="text1"/>
              </w:rPr>
            </w:pPr>
            <w:r w:rsidRPr="0BE19FC3">
              <w:rPr>
                <w:rFonts w:eastAsia="Times New Roman"/>
                <w:color w:val="000000" w:themeColor="text1"/>
              </w:rPr>
              <w:t>$2,663 million</w:t>
            </w:r>
          </w:p>
        </w:tc>
      </w:tr>
      <w:tr w:rsidR="00514ED6" w:rsidRPr="00614775" w14:paraId="446FF928" w14:textId="77777777" w:rsidTr="6E041BEC">
        <w:trPr>
          <w:trHeight w:val="290"/>
        </w:trPr>
        <w:tc>
          <w:tcPr>
            <w:tcW w:w="1749" w:type="dxa"/>
            <w:shd w:val="clear" w:color="auto" w:fill="auto"/>
            <w:noWrap/>
            <w:vAlign w:val="bottom"/>
          </w:tcPr>
          <w:p w14:paraId="11C2076A" w14:textId="573C2654" w:rsidR="00514ED6" w:rsidRPr="009A0270" w:rsidDel="009A0270" w:rsidRDefault="00514ED6" w:rsidP="000843C3">
            <w:pPr>
              <w:jc w:val="left"/>
              <w:rPr>
                <w:rFonts w:eastAsia="Times New Roman"/>
                <w:color w:val="000000"/>
              </w:rPr>
            </w:pPr>
            <w:r w:rsidRPr="0BE19FC3">
              <w:rPr>
                <w:rFonts w:eastAsia="Times New Roman"/>
                <w:color w:val="000000" w:themeColor="text1"/>
              </w:rPr>
              <w:t>2027</w:t>
            </w:r>
          </w:p>
        </w:tc>
        <w:tc>
          <w:tcPr>
            <w:tcW w:w="6206" w:type="dxa"/>
            <w:shd w:val="clear" w:color="auto" w:fill="auto"/>
            <w:noWrap/>
            <w:vAlign w:val="bottom"/>
          </w:tcPr>
          <w:p w14:paraId="5BA320E8" w14:textId="683CD72C" w:rsidR="00514ED6" w:rsidRPr="009A0270" w:rsidRDefault="00514ED6" w:rsidP="0BE19FC3">
            <w:pPr>
              <w:jc w:val="left"/>
              <w:rPr>
                <w:rFonts w:eastAsia="Times New Roman"/>
                <w:color w:val="000000" w:themeColor="text1"/>
              </w:rPr>
            </w:pPr>
            <w:r w:rsidRPr="0BE19FC3">
              <w:rPr>
                <w:rFonts w:eastAsia="Times New Roman"/>
                <w:color w:val="000000" w:themeColor="text1"/>
              </w:rPr>
              <w:t>$2,822 million</w:t>
            </w:r>
          </w:p>
        </w:tc>
      </w:tr>
      <w:tr w:rsidR="00514ED6" w:rsidRPr="00614775" w14:paraId="14528CD9" w14:textId="77777777" w:rsidTr="6E041BEC">
        <w:trPr>
          <w:trHeight w:val="290"/>
        </w:trPr>
        <w:tc>
          <w:tcPr>
            <w:tcW w:w="1749" w:type="dxa"/>
            <w:shd w:val="clear" w:color="auto" w:fill="auto"/>
            <w:noWrap/>
            <w:vAlign w:val="bottom"/>
          </w:tcPr>
          <w:p w14:paraId="64F30A68" w14:textId="13FF0AA0" w:rsidR="00514ED6" w:rsidRPr="009A0270" w:rsidDel="009A0270" w:rsidRDefault="00514ED6" w:rsidP="000843C3">
            <w:pPr>
              <w:jc w:val="left"/>
              <w:rPr>
                <w:rFonts w:eastAsia="Times New Roman"/>
                <w:color w:val="000000"/>
              </w:rPr>
            </w:pPr>
            <w:r w:rsidRPr="0BE19FC3">
              <w:rPr>
                <w:rFonts w:eastAsia="Times New Roman"/>
                <w:color w:val="000000" w:themeColor="text1"/>
              </w:rPr>
              <w:t>2028</w:t>
            </w:r>
          </w:p>
        </w:tc>
        <w:tc>
          <w:tcPr>
            <w:tcW w:w="6206" w:type="dxa"/>
            <w:shd w:val="clear" w:color="auto" w:fill="auto"/>
            <w:noWrap/>
            <w:vAlign w:val="bottom"/>
          </w:tcPr>
          <w:p w14:paraId="5AE33270" w14:textId="59435C2C" w:rsidR="00514ED6" w:rsidRPr="009A0270" w:rsidRDefault="00514ED6" w:rsidP="0BE19FC3">
            <w:pPr>
              <w:jc w:val="left"/>
              <w:rPr>
                <w:rFonts w:eastAsia="Times New Roman"/>
                <w:color w:val="000000" w:themeColor="text1"/>
              </w:rPr>
            </w:pPr>
            <w:r w:rsidRPr="0BE19FC3">
              <w:rPr>
                <w:rFonts w:eastAsia="Times New Roman"/>
                <w:color w:val="000000" w:themeColor="text1"/>
              </w:rPr>
              <w:t>$2,816 million</w:t>
            </w:r>
          </w:p>
        </w:tc>
      </w:tr>
      <w:tr w:rsidR="00514ED6" w:rsidRPr="00614775" w14:paraId="1D9E7F79" w14:textId="77777777" w:rsidTr="6E041BEC">
        <w:trPr>
          <w:trHeight w:val="290"/>
        </w:trPr>
        <w:tc>
          <w:tcPr>
            <w:tcW w:w="1749" w:type="dxa"/>
            <w:shd w:val="clear" w:color="auto" w:fill="auto"/>
            <w:noWrap/>
            <w:vAlign w:val="bottom"/>
          </w:tcPr>
          <w:p w14:paraId="7B13FD82" w14:textId="77777777" w:rsidR="00514ED6" w:rsidRPr="009A0270" w:rsidDel="009A0270" w:rsidRDefault="00514ED6" w:rsidP="000843C3">
            <w:pPr>
              <w:jc w:val="left"/>
              <w:rPr>
                <w:rFonts w:eastAsia="Times New Roman"/>
                <w:color w:val="000000"/>
              </w:rPr>
            </w:pPr>
          </w:p>
        </w:tc>
        <w:tc>
          <w:tcPr>
            <w:tcW w:w="6206" w:type="dxa"/>
            <w:shd w:val="clear" w:color="auto" w:fill="auto"/>
            <w:noWrap/>
            <w:vAlign w:val="bottom"/>
          </w:tcPr>
          <w:p w14:paraId="48F1519F" w14:textId="77777777" w:rsidR="00514ED6" w:rsidRPr="009A0270" w:rsidRDefault="00514ED6" w:rsidP="0BE19FC3">
            <w:pPr>
              <w:jc w:val="left"/>
              <w:rPr>
                <w:rFonts w:eastAsia="Times New Roman"/>
                <w:color w:val="000000" w:themeColor="text1"/>
              </w:rPr>
            </w:pPr>
          </w:p>
        </w:tc>
      </w:tr>
      <w:tr w:rsidR="00514ED6" w:rsidRPr="00614775" w14:paraId="31DDB1AC" w14:textId="77777777" w:rsidTr="6E041BEC">
        <w:trPr>
          <w:trHeight w:val="290"/>
        </w:trPr>
        <w:tc>
          <w:tcPr>
            <w:tcW w:w="1749" w:type="dxa"/>
            <w:shd w:val="clear" w:color="auto" w:fill="auto"/>
            <w:noWrap/>
            <w:vAlign w:val="bottom"/>
          </w:tcPr>
          <w:p w14:paraId="05538197" w14:textId="2F92C490" w:rsidR="00514ED6" w:rsidRPr="009A0270" w:rsidDel="009A0270" w:rsidRDefault="00514ED6" w:rsidP="000843C3">
            <w:pPr>
              <w:jc w:val="left"/>
              <w:rPr>
                <w:rFonts w:eastAsia="Times New Roman"/>
                <w:color w:val="000000"/>
              </w:rPr>
            </w:pPr>
            <w:r w:rsidRPr="0BE19FC3">
              <w:rPr>
                <w:rFonts w:eastAsia="Times New Roman"/>
                <w:color w:val="000000" w:themeColor="text1"/>
              </w:rPr>
              <w:t>Total</w:t>
            </w:r>
          </w:p>
        </w:tc>
        <w:tc>
          <w:tcPr>
            <w:tcW w:w="6206" w:type="dxa"/>
            <w:shd w:val="clear" w:color="auto" w:fill="auto"/>
            <w:noWrap/>
            <w:vAlign w:val="bottom"/>
          </w:tcPr>
          <w:p w14:paraId="6F9F2BA2" w14:textId="4E323891" w:rsidR="00514ED6" w:rsidRPr="009A0270" w:rsidRDefault="00514ED6" w:rsidP="0BE19FC3">
            <w:pPr>
              <w:jc w:val="left"/>
              <w:rPr>
                <w:rFonts w:eastAsia="Times New Roman"/>
                <w:color w:val="000000" w:themeColor="text1"/>
              </w:rPr>
            </w:pPr>
            <w:r w:rsidRPr="009A0270">
              <w:rPr>
                <w:rFonts w:eastAsia="Times New Roman"/>
                <w:color w:val="000000" w:themeColor="text1"/>
              </w:rPr>
              <w:t>$12,794</w:t>
            </w:r>
            <w:r w:rsidR="5BC2EF86" w:rsidRPr="6E041BEC">
              <w:rPr>
                <w:rFonts w:eastAsia="Times New Roman"/>
                <w:color w:val="000000" w:themeColor="text1"/>
              </w:rPr>
              <w:t xml:space="preserve"> million</w:t>
            </w:r>
          </w:p>
        </w:tc>
      </w:tr>
    </w:tbl>
    <w:p w14:paraId="0A29E447" w14:textId="5B0D151D" w:rsidR="00426EC0" w:rsidRDefault="000843C3" w:rsidP="00D93CC6">
      <w:pPr>
        <w:spacing w:line="480" w:lineRule="auto"/>
        <w:ind w:left="720"/>
        <w:rPr>
          <w:b/>
        </w:rPr>
      </w:pPr>
      <w:r>
        <w:t xml:space="preserve">We expect that level of investment to continue through 2033, as our </w:t>
      </w:r>
      <w:r w:rsidR="00426EC0">
        <w:t xml:space="preserve">current plans call for investing approximately $25 billion over the next decade. </w:t>
      </w:r>
      <w:r>
        <w:t xml:space="preserve"> As Lynnae Wilson and other witness</w:t>
      </w:r>
      <w:r w:rsidR="004C35D4">
        <w:t>es</w:t>
      </w:r>
      <w:r>
        <w:t xml:space="preserve"> explain, that level of investment will be necessary to keep up with customer growth, </w:t>
      </w:r>
      <w:r w:rsidR="00956457">
        <w:t xml:space="preserve">respond to generator </w:t>
      </w:r>
      <w:r>
        <w:t xml:space="preserve">interconnection requests that are becoming more numerous and more complicated, </w:t>
      </w:r>
      <w:r w:rsidR="00956457">
        <w:t>and make our system more modern and more resilient.</w:t>
      </w:r>
    </w:p>
    <w:p w14:paraId="4C566EE8" w14:textId="77777777" w:rsidR="00670651" w:rsidRPr="00361EF6" w:rsidRDefault="00EB5C05" w:rsidP="00361EF6">
      <w:pPr>
        <w:spacing w:line="480" w:lineRule="auto"/>
        <w:rPr>
          <w:b/>
          <w:bCs/>
        </w:rPr>
      </w:pPr>
      <w:r w:rsidRPr="00361EF6">
        <w:rPr>
          <w:b/>
          <w:bCs/>
        </w:rPr>
        <w:t>Q.</w:t>
      </w:r>
      <w:r w:rsidRPr="00361EF6">
        <w:rPr>
          <w:b/>
          <w:bCs/>
        </w:rPr>
        <w:tab/>
        <w:t>IS INVESTMENT AT THAT LEVEL REALLY NECESSARY?</w:t>
      </w:r>
    </w:p>
    <w:p w14:paraId="3F6B1C0E" w14:textId="560A0B78" w:rsidR="00EB5C05" w:rsidRDefault="00EB5C05" w:rsidP="00361EF6">
      <w:pPr>
        <w:spacing w:line="480" w:lineRule="auto"/>
        <w:ind w:left="720" w:hanging="720"/>
        <w:rPr>
          <w:b/>
        </w:rPr>
      </w:pPr>
      <w:r>
        <w:t>A.</w:t>
      </w:r>
      <w:r>
        <w:tab/>
        <w:t xml:space="preserve">Yes, it is. Customer growth in our service area is not occurring in a vacuum. It is accompanied by </w:t>
      </w:r>
      <w:r w:rsidR="0A0872B4">
        <w:t xml:space="preserve">changing customer </w:t>
      </w:r>
      <w:r>
        <w:t xml:space="preserve">expectations </w:t>
      </w:r>
      <w:r w:rsidR="2A18F4BC">
        <w:t xml:space="preserve">related </w:t>
      </w:r>
      <w:r w:rsidR="78ABA1D0">
        <w:t>t</w:t>
      </w:r>
      <w:r w:rsidR="4A04529B">
        <w:t>o</w:t>
      </w:r>
      <w:r>
        <w:t xml:space="preserve"> reliability and resiliency</w:t>
      </w:r>
      <w:r w:rsidR="1DDE2FF7">
        <w:t>,</w:t>
      </w:r>
      <w:r>
        <w:t xml:space="preserve"> as well as a marked trend toward </w:t>
      </w:r>
      <w:r w:rsidR="61264B57">
        <w:t xml:space="preserve">increasing </w:t>
      </w:r>
      <w:r>
        <w:t>electrification</w:t>
      </w:r>
      <w:r w:rsidR="46CA0F54">
        <w:t>, especially in our industrial customer sector</w:t>
      </w:r>
      <w:r>
        <w:t>.</w:t>
      </w:r>
    </w:p>
    <w:p w14:paraId="4539B5F4" w14:textId="67565DFD" w:rsidR="00EB5C05" w:rsidRPr="00361EF6" w:rsidRDefault="00EB5C05" w:rsidP="00361EF6">
      <w:pPr>
        <w:spacing w:line="480" w:lineRule="auto"/>
        <w:ind w:left="720" w:hanging="720"/>
        <w:rPr>
          <w:b/>
          <w:bCs/>
        </w:rPr>
      </w:pPr>
      <w:r w:rsidRPr="00361EF6">
        <w:rPr>
          <w:b/>
          <w:bCs/>
        </w:rPr>
        <w:t>Q.</w:t>
      </w:r>
      <w:r w:rsidRPr="00361EF6">
        <w:rPr>
          <w:b/>
          <w:bCs/>
        </w:rPr>
        <w:tab/>
        <w:t>PLEASE EXPLAIN WHAT YOU MEAN BY INCREASING EXPECTATIONS FOR RELIABILITY AND RESILIENCY.</w:t>
      </w:r>
    </w:p>
    <w:p w14:paraId="087E0D28" w14:textId="7AFA009D" w:rsidR="00BB6DE2" w:rsidRPr="001A6C6F" w:rsidRDefault="00EB5C05" w:rsidP="00361EF6">
      <w:pPr>
        <w:spacing w:line="480" w:lineRule="auto"/>
        <w:ind w:left="720" w:hanging="720"/>
        <w:rPr>
          <w:b/>
        </w:rPr>
      </w:pPr>
      <w:r>
        <w:t>A.</w:t>
      </w:r>
      <w:r>
        <w:tab/>
      </w:r>
      <w:r w:rsidR="001A6C6F" w:rsidRPr="4B8DF13A">
        <w:t xml:space="preserve">CenterPoint Houston faces increasingly high expectations from customers </w:t>
      </w:r>
      <w:r w:rsidR="04FB715B" w:rsidRPr="4B8DF13A">
        <w:t>in terms of</w:t>
      </w:r>
      <w:r w:rsidR="001A6C6F" w:rsidRPr="4B8DF13A">
        <w:t xml:space="preserve"> more reliable service and faster restoration following outages</w:t>
      </w:r>
      <w:r w:rsidR="6B1854F8" w:rsidRPr="4B8DF13A">
        <w:t>,</w:t>
      </w:r>
      <w:r w:rsidR="001A6C6F" w:rsidRPr="4B8DF13A">
        <w:t xml:space="preserve"> and from </w:t>
      </w:r>
      <w:r w:rsidR="001A6C6F" w:rsidRPr="4B8DF13A">
        <w:lastRenderedPageBreak/>
        <w:t>regulators and policymakers increasingly concerned with strengthening the electric grid in Texas.</w:t>
      </w:r>
      <w:r w:rsidR="00894FF3" w:rsidRPr="4B8DF13A">
        <w:rPr>
          <w:noProof/>
        </w:rPr>
        <w:t xml:space="preserve"> </w:t>
      </w:r>
      <w:r w:rsidR="001A6C6F" w:rsidRPr="4B8DF13A">
        <w:t xml:space="preserve"> Both the </w:t>
      </w:r>
      <w:r w:rsidR="000A03D2" w:rsidRPr="4B8DF13A">
        <w:t>87th</w:t>
      </w:r>
      <w:r w:rsidR="001A6C6F" w:rsidRPr="4B8DF13A">
        <w:t xml:space="preserve"> and </w:t>
      </w:r>
      <w:r w:rsidR="000A03D2" w:rsidRPr="4B8DF13A">
        <w:t>88th</w:t>
      </w:r>
      <w:r w:rsidR="001A6C6F" w:rsidRPr="4B8DF13A">
        <w:t xml:space="preserve"> </w:t>
      </w:r>
      <w:r w:rsidR="50A0E4E8" w:rsidRPr="4B8DF13A">
        <w:t xml:space="preserve">regular </w:t>
      </w:r>
      <w:r w:rsidR="001A6C6F" w:rsidRPr="4B8DF13A">
        <w:t>sessions of the Texas Legislature produced significant legislation aimed at weatherizing and strengthening the ERCOT grid</w:t>
      </w:r>
      <w:r w:rsidR="00973E5A" w:rsidRPr="4B8DF13A">
        <w:t xml:space="preserve">, including legislation encouraging utilities to file </w:t>
      </w:r>
      <w:r w:rsidR="0694F791" w:rsidRPr="4B8DF13A">
        <w:t xml:space="preserve">system </w:t>
      </w:r>
      <w:r w:rsidR="00973E5A" w:rsidRPr="4B8DF13A">
        <w:t xml:space="preserve">resiliency plans with the Commission. </w:t>
      </w:r>
      <w:r w:rsidR="00EF5BC8" w:rsidRPr="4B8DF13A">
        <w:t xml:space="preserve">CenterPoint Houston is also </w:t>
      </w:r>
      <w:r w:rsidR="2028F493" w:rsidRPr="4B8DF13A">
        <w:t xml:space="preserve">actively </w:t>
      </w:r>
      <w:r w:rsidR="3A69D33A" w:rsidRPr="4B8DF13A">
        <w:t>participat</w:t>
      </w:r>
      <w:r w:rsidR="7030DE89" w:rsidRPr="4B8DF13A">
        <w:t>ing</w:t>
      </w:r>
      <w:r w:rsidR="00F35ED7" w:rsidRPr="4B8DF13A">
        <w:t xml:space="preserve"> </w:t>
      </w:r>
      <w:r w:rsidR="00EF5BC8" w:rsidRPr="4B8DF13A">
        <w:t>in market design proceedings, such as chairing the Commission’s ADER Task Force</w:t>
      </w:r>
      <w:r w:rsidR="5024BE78" w:rsidRPr="4B8DF13A">
        <w:t>, which is working to enable more customers to use the distribution system not only to receive power, but to send power to the grid and participate in the ERCOT energy and ancillary services market</w:t>
      </w:r>
      <w:r w:rsidR="5BB422C3" w:rsidRPr="4B8DF13A">
        <w:t>.  More information about the ADER Task Force can be found in Project No. 53911</w:t>
      </w:r>
      <w:r w:rsidR="00EF5BC8" w:rsidRPr="4B8DF13A">
        <w:t xml:space="preserve">. </w:t>
      </w:r>
    </w:p>
    <w:p w14:paraId="40A77136" w14:textId="7E911D70" w:rsidR="00642A68" w:rsidRPr="00361EF6" w:rsidRDefault="00C71850" w:rsidP="00361EF6">
      <w:pPr>
        <w:spacing w:line="480" w:lineRule="auto"/>
        <w:ind w:left="720" w:hanging="720"/>
        <w:rPr>
          <w:b/>
          <w:bCs/>
        </w:rPr>
      </w:pPr>
      <w:r w:rsidRPr="00361EF6">
        <w:rPr>
          <w:b/>
          <w:bCs/>
        </w:rPr>
        <w:t>Q.</w:t>
      </w:r>
      <w:r w:rsidRPr="00361EF6">
        <w:rPr>
          <w:b/>
          <w:bCs/>
        </w:rPr>
        <w:tab/>
        <w:t xml:space="preserve">HOW HAS THE </w:t>
      </w:r>
      <w:r w:rsidR="6AE5C542" w:rsidRPr="00361EF6">
        <w:rPr>
          <w:b/>
          <w:bCs/>
        </w:rPr>
        <w:t>COMPANY PERFORMED IN MEETING THOSE CUSTOMER EXPECTATIONS</w:t>
      </w:r>
      <w:r w:rsidR="41B55D8B" w:rsidRPr="00361EF6">
        <w:rPr>
          <w:b/>
          <w:bCs/>
        </w:rPr>
        <w:t>?</w:t>
      </w:r>
    </w:p>
    <w:p w14:paraId="51A683B8" w14:textId="5189E505" w:rsidR="00847574" w:rsidRPr="0037179E" w:rsidRDefault="00847574" w:rsidP="00361EF6">
      <w:pPr>
        <w:spacing w:line="480" w:lineRule="auto"/>
        <w:ind w:left="720" w:hanging="720"/>
        <w:rPr>
          <w:b/>
        </w:rPr>
      </w:pPr>
      <w:r w:rsidRPr="4B8DF13A">
        <w:t>A.</w:t>
      </w:r>
      <w:r>
        <w:tab/>
      </w:r>
      <w:r w:rsidR="02C6F803" w:rsidRPr="4B8DF13A">
        <w:t>While we constantly strive to improve our customer service, a</w:t>
      </w:r>
      <w:r w:rsidR="00F122B2" w:rsidRPr="4B8DF13A">
        <w:t xml:space="preserve">s </w:t>
      </w:r>
      <w:r w:rsidR="000018F0" w:rsidRPr="4B8DF13A">
        <w:t xml:space="preserve">Ms. </w:t>
      </w:r>
      <w:r w:rsidR="002E0406" w:rsidRPr="4B8DF13A">
        <w:t xml:space="preserve">Wilson </w:t>
      </w:r>
      <w:r w:rsidR="00042983" w:rsidRPr="4B8DF13A">
        <w:t xml:space="preserve">testifies, the Company </w:t>
      </w:r>
      <w:r w:rsidR="003B45EA" w:rsidRPr="4B8DF13A">
        <w:t xml:space="preserve">has received high praise from its customers and awards for its customer service. </w:t>
      </w:r>
      <w:r w:rsidR="004F3BC9" w:rsidRPr="4B8DF13A">
        <w:t xml:space="preserve">Rina Harris describes the Company’s efforts to </w:t>
      </w:r>
      <w:r w:rsidR="001A57DD" w:rsidRPr="4B8DF13A">
        <w:t>improve the relationship</w:t>
      </w:r>
      <w:r w:rsidR="004F3BC9" w:rsidRPr="4B8DF13A">
        <w:t xml:space="preserve"> with H-E-B</w:t>
      </w:r>
      <w:r w:rsidR="00226DF2" w:rsidRPr="4B8DF13A">
        <w:t xml:space="preserve"> to </w:t>
      </w:r>
      <w:r w:rsidR="001A57DD" w:rsidRPr="4B8DF13A">
        <w:t xml:space="preserve">the point that H-E-B filed a letter with the Commission acknowledging </w:t>
      </w:r>
      <w:r w:rsidR="00496A02" w:rsidRPr="4B8DF13A">
        <w:t>the Company’s efforts and the improve</w:t>
      </w:r>
      <w:r w:rsidR="00546D42" w:rsidRPr="4B8DF13A">
        <w:t xml:space="preserve">ment in the relationship. Her testimony includes several other letters from large customers describing their positive experience working with CenterPoint Houston. </w:t>
      </w:r>
      <w:r w:rsidR="00EA374F" w:rsidRPr="4B8DF13A">
        <w:t>Shonda Royston</w:t>
      </w:r>
      <w:r w:rsidR="00B537F0" w:rsidRPr="4B8DF13A">
        <w:t>-</w:t>
      </w:r>
      <w:r w:rsidR="00EA374F" w:rsidRPr="4B8DF13A">
        <w:t xml:space="preserve">Johnson </w:t>
      </w:r>
      <w:r w:rsidR="0056261E" w:rsidRPr="4B8DF13A">
        <w:t xml:space="preserve">describes the </w:t>
      </w:r>
      <w:proofErr w:type="gramStart"/>
      <w:r w:rsidR="0056261E" w:rsidRPr="4B8DF13A">
        <w:t>high levels</w:t>
      </w:r>
      <w:proofErr w:type="gramEnd"/>
      <w:r w:rsidR="0056261E" w:rsidRPr="4B8DF13A">
        <w:t xml:space="preserve"> of customer satisfaction </w:t>
      </w:r>
      <w:r w:rsidR="00C6702D" w:rsidRPr="4B8DF13A">
        <w:t xml:space="preserve">in response to Company surveys and also notes </w:t>
      </w:r>
      <w:r w:rsidR="008300A9" w:rsidRPr="4B8DF13A">
        <w:t xml:space="preserve">that </w:t>
      </w:r>
      <w:r w:rsidR="0004193A" w:rsidRPr="4B8DF13A">
        <w:t xml:space="preserve">the American Customer Satisfaction Index </w:t>
      </w:r>
      <w:r w:rsidR="0062799F" w:rsidRPr="4B8DF13A">
        <w:t xml:space="preserve">in 2023 ranked </w:t>
      </w:r>
      <w:r w:rsidR="008300A9" w:rsidRPr="4B8DF13A">
        <w:t>CenterPoint Energy Houston</w:t>
      </w:r>
      <w:r w:rsidR="009F4B3E" w:rsidRPr="4B8DF13A">
        <w:t xml:space="preserve"> second</w:t>
      </w:r>
      <w:r w:rsidR="000B433C" w:rsidRPr="4B8DF13A">
        <w:t xml:space="preserve"> </w:t>
      </w:r>
      <w:r w:rsidR="0062799F" w:rsidRPr="4B8DF13A">
        <w:t xml:space="preserve">among investor-owned </w:t>
      </w:r>
      <w:r w:rsidR="0081514C" w:rsidRPr="4B8DF13A">
        <w:t xml:space="preserve">utilities in customer satisfaction. </w:t>
      </w:r>
      <w:r w:rsidR="00F122B2" w:rsidRPr="4B8DF13A">
        <w:t xml:space="preserve">As </w:t>
      </w:r>
      <w:r w:rsidR="00BE3E7D" w:rsidRPr="4B8DF13A">
        <w:t>noted</w:t>
      </w:r>
      <w:r w:rsidR="00F122B2" w:rsidRPr="4B8DF13A">
        <w:t xml:space="preserve"> by </w:t>
      </w:r>
      <w:r w:rsidR="00BE3E7D" w:rsidRPr="4B8DF13A">
        <w:t>Ms.</w:t>
      </w:r>
      <w:r w:rsidR="00F122B2" w:rsidRPr="4B8DF13A">
        <w:t xml:space="preserve"> Wilson in her direct testimony, in the face of rapid </w:t>
      </w:r>
      <w:r w:rsidR="00F122B2" w:rsidRPr="4B8DF13A">
        <w:lastRenderedPageBreak/>
        <w:t>customer growth and severe weather, the Company has fallen short on some of its System Average Interruption Duration Index (“SAIDI”) and System Average Interruption Frequency Index (“SAIFI”) targets. However, as explained by Ms. Wilson and other witnesses, the Company is working hard to improve its SAIDI and SAIFI performance.</w:t>
      </w:r>
      <w:r w:rsidR="00EA374F" w:rsidRPr="4B8DF13A">
        <w:t xml:space="preserve"> </w:t>
      </w:r>
      <w:r w:rsidR="00226DF2" w:rsidRPr="4B8DF13A">
        <w:t xml:space="preserve"> </w:t>
      </w:r>
    </w:p>
    <w:p w14:paraId="122FB335" w14:textId="62EFFEAF" w:rsidR="0016386B" w:rsidRPr="00361EF6" w:rsidRDefault="0016386B" w:rsidP="00361EF6">
      <w:pPr>
        <w:spacing w:line="480" w:lineRule="auto"/>
        <w:ind w:left="720" w:hanging="720"/>
        <w:rPr>
          <w:b/>
          <w:bCs/>
        </w:rPr>
      </w:pPr>
      <w:r w:rsidRPr="00361EF6">
        <w:rPr>
          <w:b/>
          <w:bCs/>
        </w:rPr>
        <w:t>Q.</w:t>
      </w:r>
      <w:r w:rsidRPr="00361EF6">
        <w:rPr>
          <w:b/>
          <w:bCs/>
        </w:rPr>
        <w:tab/>
        <w:t>PLEASE DESCRIBE THE ELECTRIFICATION TREND THAT IS AFFECTING THE COMPANY.</w:t>
      </w:r>
    </w:p>
    <w:p w14:paraId="5F22222E" w14:textId="71932572" w:rsidR="0098151C" w:rsidRDefault="0016386B" w:rsidP="00361EF6">
      <w:pPr>
        <w:spacing w:line="480" w:lineRule="auto"/>
        <w:ind w:left="720" w:hanging="720"/>
        <w:rPr>
          <w:b/>
        </w:rPr>
      </w:pPr>
      <w:r w:rsidRPr="4B8DF13A">
        <w:t>A.</w:t>
      </w:r>
      <w:r>
        <w:tab/>
      </w:r>
      <w:r w:rsidR="0098151C" w:rsidRPr="4B8DF13A">
        <w:t xml:space="preserve">Electrification takes </w:t>
      </w:r>
      <w:r w:rsidR="004D1195" w:rsidRPr="4B8DF13A">
        <w:t>several</w:t>
      </w:r>
      <w:r w:rsidR="0098151C" w:rsidRPr="4B8DF13A">
        <w:t xml:space="preserve"> forms.  </w:t>
      </w:r>
      <w:r w:rsidR="00670651" w:rsidRPr="4B8DF13A">
        <w:t>First,</w:t>
      </w:r>
      <w:r w:rsidR="0098151C" w:rsidRPr="4B8DF13A">
        <w:t xml:space="preserve"> we have seen an increase in generator interconnection requests.  Since Docket No. 49421, </w:t>
      </w:r>
      <w:r w:rsidR="3D1E98FE" w:rsidRPr="4B8DF13A">
        <w:t>our last rate case</w:t>
      </w:r>
      <w:r w:rsidR="0098151C" w:rsidRPr="4B8DF13A">
        <w:t xml:space="preserve">, the Company has built transmission interconnection facilities to interconnect twenty-five new resource plants collectively representing approximately 6,435 MW of planned capacity out of which wind, solar and storage resources constitute approximately 4,685 MW </w:t>
      </w:r>
      <w:r w:rsidR="5D0BCB0B" w:rsidRPr="6E041BEC">
        <w:t xml:space="preserve">of </w:t>
      </w:r>
      <w:r w:rsidR="0098151C" w:rsidRPr="4B8DF13A">
        <w:t>planned capacity.  Second, o</w:t>
      </w:r>
      <w:r w:rsidR="0098151C">
        <w:t xml:space="preserve">n the distribution side, more homes and businesses are installing distributed energy resources, primarily roof-top solar systems. These systems allow customers to offset energy demands and often export excess energy back to the distribution system. Distribution circuits that </w:t>
      </w:r>
      <w:r w:rsidR="004D1195">
        <w:t>were originally</w:t>
      </w:r>
      <w:r w:rsidR="0098151C">
        <w:t xml:space="preserve"> designed for power to flow </w:t>
      </w:r>
      <w:r w:rsidR="004D1195">
        <w:t>in one direction, from the grid to the customer,</w:t>
      </w:r>
      <w:r w:rsidR="0098151C">
        <w:t xml:space="preserve"> are now </w:t>
      </w:r>
      <w:r w:rsidR="004D1195">
        <w:t>being called upon to handle the flow of power in both directions, which</w:t>
      </w:r>
      <w:r w:rsidR="0098151C">
        <w:t xml:space="preserve"> requires changes to system design and creates operational challenges as well. </w:t>
      </w:r>
      <w:r w:rsidR="004D1195">
        <w:t xml:space="preserve">Mr. Easton discusses both trends in his testimony. Third, the Company continues to see more </w:t>
      </w:r>
      <w:r w:rsidR="19B30247">
        <w:t xml:space="preserve">customers </w:t>
      </w:r>
      <w:r w:rsidR="24BBA3E5">
        <w:t>adoptin</w:t>
      </w:r>
      <w:r w:rsidR="4F8D6BE2">
        <w:t>g</w:t>
      </w:r>
      <w:r w:rsidR="004D1195">
        <w:t xml:space="preserve"> electric vehicles</w:t>
      </w:r>
      <w:r w:rsidR="0D9ED5D9">
        <w:t xml:space="preserve"> and commercial fleet </w:t>
      </w:r>
      <w:r w:rsidR="5C7C010E">
        <w:t>conversions</w:t>
      </w:r>
      <w:r w:rsidR="508E13EB">
        <w:t>.</w:t>
      </w:r>
      <w:r w:rsidR="004D1195">
        <w:t xml:space="preserve"> Rina Harris’s testimony describes how CenterPoint Houston has </w:t>
      </w:r>
      <w:r w:rsidR="0F2413C3">
        <w:t xml:space="preserve">proactively engaged </w:t>
      </w:r>
      <w:r w:rsidR="004D1195">
        <w:t xml:space="preserve">with commercial customers who have decided to </w:t>
      </w:r>
      <w:r w:rsidR="629CAC83">
        <w:t xml:space="preserve">electrify, </w:t>
      </w:r>
      <w:r w:rsidR="1FF4DF93">
        <w:t xml:space="preserve">or are </w:t>
      </w:r>
      <w:r w:rsidR="1FF4DF93">
        <w:lastRenderedPageBreak/>
        <w:t xml:space="preserve">considering </w:t>
      </w:r>
      <w:r w:rsidR="24BBA3E5">
        <w:t>electrify</w:t>
      </w:r>
      <w:r w:rsidR="598DC510">
        <w:t>ing</w:t>
      </w:r>
      <w:r w:rsidR="403916A0">
        <w:t>,</w:t>
      </w:r>
      <w:r w:rsidR="24BBA3E5">
        <w:t xml:space="preserve"> </w:t>
      </w:r>
      <w:r w:rsidR="0F30195D">
        <w:t xml:space="preserve">some or all of </w:t>
      </w:r>
      <w:r w:rsidR="004D1195">
        <w:t xml:space="preserve">their vehicle fleet to install the </w:t>
      </w:r>
      <w:r w:rsidR="72FE5785">
        <w:t xml:space="preserve">necessary infrastructure and </w:t>
      </w:r>
      <w:r w:rsidR="004D1195">
        <w:t xml:space="preserve">charging stations they require. </w:t>
      </w:r>
      <w:r w:rsidR="06F1B907">
        <w:t xml:space="preserve">Fourth, </w:t>
      </w:r>
      <w:r w:rsidR="3A9D2BD7">
        <w:t xml:space="preserve">as Ms. Harris describes in her testimony, </w:t>
      </w:r>
      <w:r w:rsidR="06F1B907">
        <w:t xml:space="preserve">quite a few of our large industrial customers are moving to electrify their operations. </w:t>
      </w:r>
      <w:r w:rsidR="004D1195">
        <w:t xml:space="preserve">It is important to note that each of these trends—new generation interconnections, </w:t>
      </w:r>
      <w:r w:rsidR="467B0E51">
        <w:t xml:space="preserve">increasing </w:t>
      </w:r>
      <w:r w:rsidR="3DD7873B">
        <w:t>penetration</w:t>
      </w:r>
      <w:r w:rsidR="467B0E51">
        <w:t xml:space="preserve"> </w:t>
      </w:r>
      <w:r w:rsidR="62BAA9E4">
        <w:t xml:space="preserve">of </w:t>
      </w:r>
      <w:r w:rsidR="004D1195">
        <w:t>distributed energy resources, a move to more electric vehicles</w:t>
      </w:r>
      <w:r w:rsidR="73C7C7BF">
        <w:t xml:space="preserve">, and industrial </w:t>
      </w:r>
      <w:r w:rsidR="007B571B">
        <w:t>electrification</w:t>
      </w:r>
      <w:r w:rsidR="004D1195">
        <w:t xml:space="preserve">—is </w:t>
      </w:r>
      <w:r w:rsidR="004D1195" w:rsidRPr="4B8DF13A">
        <w:rPr>
          <w:i/>
          <w:iCs/>
        </w:rPr>
        <w:t>customer</w:t>
      </w:r>
      <w:r w:rsidR="004D1195">
        <w:t xml:space="preserve">-initiated. </w:t>
      </w:r>
      <w:r w:rsidR="28BDFC6E">
        <w:t>A</w:t>
      </w:r>
      <w:r w:rsidR="24BBA3E5">
        <w:t>s</w:t>
      </w:r>
      <w:r w:rsidR="004D1195">
        <w:t xml:space="preserve"> </w:t>
      </w:r>
      <w:r w:rsidR="00E53564">
        <w:t xml:space="preserve">the </w:t>
      </w:r>
      <w:r w:rsidR="004D1195">
        <w:t>electric utility</w:t>
      </w:r>
      <w:r w:rsidR="003F160B">
        <w:t xml:space="preserve"> with an obligation to serve these customers</w:t>
      </w:r>
      <w:r w:rsidR="004D1195">
        <w:t xml:space="preserve">, CenterPoint Houston </w:t>
      </w:r>
      <w:r w:rsidR="003F160B">
        <w:t>must</w:t>
      </w:r>
      <w:r w:rsidR="004D1195">
        <w:t xml:space="preserve"> </w:t>
      </w:r>
      <w:r w:rsidR="003F160B">
        <w:t>invest in the necessary transmission and distribution infrastructure</w:t>
      </w:r>
      <w:r w:rsidR="0FB905CD">
        <w:t xml:space="preserve"> to meet </w:t>
      </w:r>
      <w:r w:rsidR="00E66B76">
        <w:t>their needs</w:t>
      </w:r>
      <w:r w:rsidR="004D1195">
        <w:t>.</w:t>
      </w:r>
    </w:p>
    <w:p w14:paraId="431CD63D" w14:textId="08D79145" w:rsidR="008A2EF0" w:rsidRPr="00361EF6" w:rsidRDefault="008A2EF0" w:rsidP="00361EF6">
      <w:pPr>
        <w:spacing w:line="480" w:lineRule="auto"/>
        <w:ind w:left="720" w:hanging="720"/>
        <w:rPr>
          <w:b/>
          <w:bCs/>
        </w:rPr>
      </w:pPr>
      <w:r w:rsidRPr="00361EF6">
        <w:rPr>
          <w:b/>
          <w:bCs/>
        </w:rPr>
        <w:t>Q.</w:t>
      </w:r>
      <w:r w:rsidRPr="00361EF6">
        <w:rPr>
          <w:b/>
          <w:bCs/>
        </w:rPr>
        <w:tab/>
        <w:t>WHAT IS THE EXPECTED PACE OF ELECTRIFICATION IN CENTERPOINT HOUSTON’S SERVICE AREA?</w:t>
      </w:r>
    </w:p>
    <w:p w14:paraId="4244A96D" w14:textId="463A7D7A" w:rsidR="008A2EF0" w:rsidRPr="008A2EF0" w:rsidRDefault="008A2EF0" w:rsidP="00361EF6">
      <w:pPr>
        <w:spacing w:line="480" w:lineRule="auto"/>
        <w:ind w:left="720" w:hanging="720"/>
        <w:rPr>
          <w:b/>
        </w:rPr>
      </w:pPr>
      <w:r w:rsidRPr="0A3545C5">
        <w:t>A.</w:t>
      </w:r>
      <w:r>
        <w:tab/>
      </w:r>
      <w:r w:rsidR="64CFC7DA" w:rsidRPr="4B8DF13A">
        <w:t xml:space="preserve">The Greater Houston Partnership, which is the Houston region’s equivalent of a chamber of commerce, is currently </w:t>
      </w:r>
      <w:r w:rsidR="2A4A0C1A" w:rsidRPr="4B8DF13A">
        <w:t xml:space="preserve">conducting </w:t>
      </w:r>
      <w:r w:rsidR="64CFC7DA" w:rsidRPr="4B8DF13A">
        <w:t xml:space="preserve">a </w:t>
      </w:r>
      <w:r w:rsidR="13793442" w:rsidRPr="4B8DF13A">
        <w:t xml:space="preserve">comprehensive </w:t>
      </w:r>
      <w:r w:rsidR="64CFC7DA" w:rsidRPr="4B8DF13A">
        <w:t>study of projected load growth in the region as a result of customer-initiated electrification efforts</w:t>
      </w:r>
      <w:r w:rsidR="29CD0A56" w:rsidRPr="4B8DF13A">
        <w:t xml:space="preserve"> and hydrogen development.  Electrification and hydrogen development in the Houston area are being supported by an unprecedented lev</w:t>
      </w:r>
      <w:r w:rsidR="4B6D9289" w:rsidRPr="4B8DF13A">
        <w:t>el of federal gran</w:t>
      </w:r>
      <w:r w:rsidR="1987A106" w:rsidRPr="4B8DF13A">
        <w:t>t and loan</w:t>
      </w:r>
      <w:r w:rsidR="4B6D9289" w:rsidRPr="4B8DF13A">
        <w:t xml:space="preserve"> funding under </w:t>
      </w:r>
      <w:r w:rsidR="6F474E95" w:rsidRPr="4B8DF13A">
        <w:t xml:space="preserve">the Bipartisan Infrastructure Law (as enacted in the Infrastructure Investment and Jobs Act of 2021) and the </w:t>
      </w:r>
      <w:r w:rsidR="55005792" w:rsidRPr="4B8DF13A">
        <w:t>Inflation Reduction Act of 2022</w:t>
      </w:r>
      <w:r w:rsidR="64CFC7DA" w:rsidRPr="4B8DF13A">
        <w:t xml:space="preserve">.  </w:t>
      </w:r>
      <w:r w:rsidR="1EE7ADFF" w:rsidRPr="4B8DF13A">
        <w:t xml:space="preserve">Many of our large industrial customers are applying for grants under those laws, which will </w:t>
      </w:r>
      <w:r w:rsidR="7D5FC5EE" w:rsidRPr="4B8DF13A">
        <w:t>accelerate</w:t>
      </w:r>
      <w:r w:rsidR="1EE7ADFF" w:rsidRPr="4B8DF13A">
        <w:t xml:space="preserve"> electrification efforts and hydrogen development.  </w:t>
      </w:r>
      <w:r w:rsidR="64CFC7DA" w:rsidRPr="4B8DF13A">
        <w:t xml:space="preserve">I expect </w:t>
      </w:r>
      <w:r w:rsidR="0F8B24D7" w:rsidRPr="4B8DF13A">
        <w:t xml:space="preserve">the Greater Houston Partnership </w:t>
      </w:r>
      <w:r w:rsidR="77EE218E" w:rsidRPr="4B8DF13A">
        <w:t xml:space="preserve">study to be released in the near future and will provide it in supplemental direct testimony.  </w:t>
      </w:r>
      <w:r w:rsidR="2ADA801E" w:rsidRPr="4B8DF13A">
        <w:t xml:space="preserve">But based on our involvement in the study, I </w:t>
      </w:r>
      <w:r w:rsidR="2ADA801E" w:rsidRPr="4B8DF13A">
        <w:lastRenderedPageBreak/>
        <w:t>expect it to show a potential</w:t>
      </w:r>
      <w:r w:rsidR="1BDB4FDB" w:rsidRPr="4B8DF13A">
        <w:t xml:space="preserve"> of doubling or</w:t>
      </w:r>
      <w:r w:rsidR="2ADA801E" w:rsidRPr="4B8DF13A">
        <w:t xml:space="preserve"> tripling of load in the Houston area by 2050, primarily </w:t>
      </w:r>
      <w:r w:rsidR="7B4D2963" w:rsidRPr="6E041BEC">
        <w:t>caused</w:t>
      </w:r>
      <w:r w:rsidR="2ADA801E" w:rsidRPr="4B8DF13A">
        <w:t xml:space="preserve"> by these customer-driven activities.  </w:t>
      </w:r>
    </w:p>
    <w:p w14:paraId="121462C5" w14:textId="4744A589" w:rsidR="008A2EF0" w:rsidRPr="008A2EF0" w:rsidRDefault="2ADA801E" w:rsidP="00361EF6">
      <w:pPr>
        <w:spacing w:line="480" w:lineRule="auto"/>
        <w:ind w:left="720"/>
        <w:rPr>
          <w:b/>
        </w:rPr>
      </w:pPr>
      <w:r w:rsidRPr="4B8DF13A">
        <w:t xml:space="preserve">Consistent with what I expect to be shown in the </w:t>
      </w:r>
      <w:r w:rsidR="5D49B547" w:rsidRPr="4B8DF13A">
        <w:t xml:space="preserve">Greater </w:t>
      </w:r>
      <w:r w:rsidR="697F654F">
        <w:t xml:space="preserve">Houston Partnership study, an </w:t>
      </w:r>
      <w:r w:rsidR="00124580">
        <w:t>April 2022</w:t>
      </w:r>
      <w:r w:rsidR="008A2EF0" w:rsidRPr="0A3545C5">
        <w:t xml:space="preserve"> report </w:t>
      </w:r>
      <w:r w:rsidR="003F2DA5">
        <w:t xml:space="preserve">from </w:t>
      </w:r>
      <w:r w:rsidR="1A1EFF68">
        <w:t>T</w:t>
      </w:r>
      <w:r w:rsidR="003F2DA5">
        <w:t xml:space="preserve">he University of Texas at Austin </w:t>
      </w:r>
      <w:r w:rsidR="00073648">
        <w:t xml:space="preserve">notes </w:t>
      </w:r>
      <w:r w:rsidR="003F2DA5">
        <w:t xml:space="preserve">that </w:t>
      </w:r>
      <w:r w:rsidR="00CA7685">
        <w:t>the City of</w:t>
      </w:r>
      <w:r w:rsidR="003F2DA5">
        <w:t xml:space="preserve"> </w:t>
      </w:r>
      <w:r w:rsidR="008A2EF0" w:rsidRPr="0A3545C5">
        <w:t xml:space="preserve">Houston </w:t>
      </w:r>
      <w:r w:rsidR="009D70B7">
        <w:t xml:space="preserve">has set a </w:t>
      </w:r>
      <w:r w:rsidR="00115FC7">
        <w:t>net-zero target</w:t>
      </w:r>
      <w:r w:rsidR="00B34BF4">
        <w:t xml:space="preserve"> by 2050</w:t>
      </w:r>
      <w:r w:rsidR="00F24971">
        <w:t>,</w:t>
      </w:r>
      <w:r w:rsidR="00267BF9">
        <w:rPr>
          <w:rStyle w:val="FootnoteReference"/>
          <w:rFonts w:eastAsia="Calibri"/>
        </w:rPr>
        <w:footnoteReference w:id="17"/>
      </w:r>
      <w:r w:rsidR="00F24971">
        <w:t xml:space="preserve"> and</w:t>
      </w:r>
      <w:r w:rsidR="008A2EF0" w:rsidRPr="0A3545C5">
        <w:t xml:space="preserve"> suggests that </w:t>
      </w:r>
      <w:r w:rsidR="00F24971">
        <w:t>to reach such a target</w:t>
      </w:r>
      <w:r w:rsidR="004E071B">
        <w:t xml:space="preserve"> relying on </w:t>
      </w:r>
      <w:r w:rsidR="008A2EF0" w:rsidRPr="0A3545C5">
        <w:t>electrification</w:t>
      </w:r>
      <w:r w:rsidR="00DA0492">
        <w:t xml:space="preserve">, electric consumption would </w:t>
      </w:r>
      <w:r w:rsidR="00924619">
        <w:t xml:space="preserve">need to </w:t>
      </w:r>
      <w:r w:rsidR="00DB7442">
        <w:t>more than double</w:t>
      </w:r>
      <w:r w:rsidR="000C3FE8">
        <w:t xml:space="preserve"> over that time frame</w:t>
      </w:r>
      <w:r w:rsidR="3E2D3265" w:rsidRPr="0A3545C5">
        <w:t>.</w:t>
      </w:r>
      <w:r w:rsidR="00E97645">
        <w:rPr>
          <w:rStyle w:val="FootnoteReference"/>
          <w:rFonts w:eastAsia="Calibri"/>
        </w:rPr>
        <w:footnoteReference w:id="18"/>
      </w:r>
      <w:r w:rsidR="008A2EF0" w:rsidRPr="0A3545C5">
        <w:t xml:space="preserve"> </w:t>
      </w:r>
    </w:p>
    <w:p w14:paraId="0E855BBA" w14:textId="1F2BBF1D" w:rsidR="03954A77" w:rsidRPr="008A2EF0" w:rsidRDefault="6CAB93F4" w:rsidP="00361EF6">
      <w:pPr>
        <w:spacing w:line="480" w:lineRule="auto"/>
        <w:ind w:left="720"/>
        <w:rPr>
          <w:rStyle w:val="FootnoteReference"/>
          <w:rFonts w:eastAsia="Calibri"/>
          <w:b/>
          <w:vertAlign w:val="baseline"/>
        </w:rPr>
      </w:pPr>
      <w:r w:rsidRPr="0A3545C5">
        <w:t xml:space="preserve">It is important to note that, unlike steady increases in population, which increase load but in a more gradual way, industrial </w:t>
      </w:r>
      <w:r w:rsidR="00F973A1" w:rsidRPr="0A3545C5">
        <w:t>electrification</w:t>
      </w:r>
      <w:r w:rsidR="4BFE068D" w:rsidRPr="0A3545C5">
        <w:t xml:space="preserve"> </w:t>
      </w:r>
      <w:r w:rsidRPr="0A3545C5">
        <w:t xml:space="preserve">will happen in larger increments.  </w:t>
      </w:r>
      <w:r w:rsidR="00F25CFD" w:rsidRPr="0E0C2CF0">
        <w:t xml:space="preserve"> </w:t>
      </w:r>
      <w:r w:rsidR="382D82CB" w:rsidRPr="753507FF">
        <w:t xml:space="preserve">For example, </w:t>
      </w:r>
      <w:r w:rsidR="64771D0A" w:rsidRPr="43F2F114">
        <w:t>when the Freeport LNG facility began operation</w:t>
      </w:r>
      <w:r w:rsidR="25B44E72" w:rsidRPr="43F2F114">
        <w:t xml:space="preserve"> in our service area</w:t>
      </w:r>
      <w:r w:rsidR="64771D0A" w:rsidRPr="43F2F114">
        <w:t xml:space="preserve">, it </w:t>
      </w:r>
      <w:r w:rsidR="64771D0A" w:rsidRPr="6432A926">
        <w:t>required</w:t>
      </w:r>
      <w:r w:rsidR="64771D0A" w:rsidRPr="0D648429">
        <w:t xml:space="preserve"> 690 </w:t>
      </w:r>
      <w:r w:rsidR="64771D0A" w:rsidRPr="6E546982">
        <w:t xml:space="preserve">MW of electricity, which was </w:t>
      </w:r>
      <w:r w:rsidR="64771D0A" w:rsidRPr="5B08388D">
        <w:t xml:space="preserve">almost </w:t>
      </w:r>
      <w:r w:rsidR="2D2004E0" w:rsidRPr="221EF085">
        <w:t xml:space="preserve">9 times the Freeport </w:t>
      </w:r>
      <w:r w:rsidR="2D2004E0" w:rsidRPr="5BEB5726">
        <w:t xml:space="preserve">area's </w:t>
      </w:r>
      <w:r w:rsidR="2D2004E0" w:rsidRPr="73CEEBF4">
        <w:t>previous</w:t>
      </w:r>
      <w:r w:rsidR="2D2004E0" w:rsidRPr="7BC85D60">
        <w:t xml:space="preserve"> </w:t>
      </w:r>
      <w:r w:rsidR="2D2004E0" w:rsidRPr="01A8225C">
        <w:t xml:space="preserve">load, which </w:t>
      </w:r>
      <w:bookmarkStart w:id="13" w:name="_Int_yGSQq3FT"/>
      <w:r w:rsidR="00094F46">
        <w:t xml:space="preserve">was </w:t>
      </w:r>
      <w:r w:rsidR="2D2004E0" w:rsidRPr="391354EC">
        <w:t>less than 80</w:t>
      </w:r>
      <w:bookmarkEnd w:id="13"/>
      <w:r w:rsidR="00FA5950">
        <w:t xml:space="preserve"> MW</w:t>
      </w:r>
      <w:r w:rsidR="00094F46">
        <w:t>.</w:t>
      </w:r>
      <w:r w:rsidR="008A2EF0" w:rsidRPr="4B8DF13A">
        <w:rPr>
          <w:rStyle w:val="FootnoteReference"/>
          <w:rFonts w:eastAsia="Calibri"/>
        </w:rPr>
        <w:footnoteReference w:id="19"/>
      </w:r>
      <w:r w:rsidR="003A70B0">
        <w:t xml:space="preserve">  </w:t>
      </w:r>
      <w:r w:rsidR="00531ACC">
        <w:rPr>
          <w:rStyle w:val="FootnoteReference"/>
          <w:rFonts w:eastAsia="Calibri"/>
          <w:vertAlign w:val="baseline"/>
        </w:rPr>
        <w:t>G</w:t>
      </w:r>
      <w:r w:rsidR="00531ACC">
        <w:t>iven the</w:t>
      </w:r>
      <w:r w:rsidR="65C7FBCC" w:rsidRPr="0BE19FC3" w:rsidDel="00531ACC">
        <w:t xml:space="preserve"> </w:t>
      </w:r>
      <w:r w:rsidR="65C7FBCC" w:rsidRPr="0BE19FC3">
        <w:rPr>
          <w:rStyle w:val="FootnoteReference"/>
          <w:rFonts w:eastAsia="Calibri"/>
          <w:vertAlign w:val="baseline"/>
        </w:rPr>
        <w:t>growth in capital expenditure</w:t>
      </w:r>
      <w:r w:rsidR="00531ACC">
        <w:t>s</w:t>
      </w:r>
      <w:r w:rsidR="65C7FBCC" w:rsidRPr="0BE19FC3">
        <w:rPr>
          <w:rStyle w:val="FootnoteReference"/>
          <w:rFonts w:eastAsia="Calibri"/>
          <w:vertAlign w:val="baseline"/>
        </w:rPr>
        <w:t xml:space="preserve"> </w:t>
      </w:r>
      <w:r w:rsidR="12DB4D86" w:rsidRPr="0BE19FC3">
        <w:rPr>
          <w:rStyle w:val="FootnoteReference"/>
          <w:rFonts w:eastAsia="Calibri"/>
          <w:vertAlign w:val="baseline"/>
        </w:rPr>
        <w:t>t</w:t>
      </w:r>
      <w:r w:rsidR="12DB4D86" w:rsidRPr="0BE19FC3">
        <w:t>hat</w:t>
      </w:r>
      <w:r w:rsidR="00531ACC">
        <w:t xml:space="preserve"> has been needed to</w:t>
      </w:r>
      <w:r w:rsidR="65C7FBCC" w:rsidRPr="0BE19FC3">
        <w:rPr>
          <w:rStyle w:val="FootnoteReference"/>
          <w:rFonts w:eastAsia="Calibri"/>
          <w:vertAlign w:val="baseline"/>
        </w:rPr>
        <w:t xml:space="preserve"> keep up with population growth, industrial electrification and hydrogen development </w:t>
      </w:r>
      <w:r w:rsidR="00531ACC">
        <w:t xml:space="preserve">will </w:t>
      </w:r>
      <w:r w:rsidR="65C7FBCC" w:rsidRPr="0BE19FC3">
        <w:rPr>
          <w:rStyle w:val="FootnoteReference"/>
          <w:rFonts w:eastAsia="Calibri"/>
          <w:vertAlign w:val="baseline"/>
        </w:rPr>
        <w:t>require a game-changing level of infras</w:t>
      </w:r>
      <w:r w:rsidR="78778CD6" w:rsidRPr="0BE19FC3">
        <w:rPr>
          <w:rStyle w:val="FootnoteReference"/>
          <w:rFonts w:eastAsia="Calibri"/>
          <w:vertAlign w:val="baseline"/>
        </w:rPr>
        <w:t>tructure development by the Company.</w:t>
      </w:r>
    </w:p>
    <w:p w14:paraId="13BDA4CD" w14:textId="77777777" w:rsidR="00D93CC6" w:rsidRDefault="00D93CC6" w:rsidP="00343E75">
      <w:pPr>
        <w:pStyle w:val="PCROutline1"/>
        <w:keepNext/>
        <w:keepLines/>
        <w:numPr>
          <w:ilvl w:val="0"/>
          <w:numId w:val="8"/>
        </w:numPr>
        <w:tabs>
          <w:tab w:val="clear" w:pos="432"/>
          <w:tab w:val="left" w:pos="720"/>
        </w:tabs>
        <w:spacing w:after="0" w:line="480" w:lineRule="auto"/>
      </w:pPr>
      <w:bookmarkStart w:id="14" w:name="_Toc159840215"/>
      <w:r w:rsidRPr="1CCFF1E7">
        <w:rPr>
          <w:u w:val="single"/>
        </w:rPr>
        <w:lastRenderedPageBreak/>
        <w:t>THE IMPORTANCE OF REFLECTING THE COMPANY’S ACTUAL CAPITAL STRUCTURE IN RATES</w:t>
      </w:r>
      <w:bookmarkEnd w:id="14"/>
    </w:p>
    <w:p w14:paraId="4BA1AA21" w14:textId="4392452D" w:rsidR="00D93CC6" w:rsidRPr="00361EF6" w:rsidRDefault="00D93CC6" w:rsidP="00343E75">
      <w:pPr>
        <w:keepNext/>
        <w:keepLines/>
        <w:spacing w:line="480" w:lineRule="auto"/>
        <w:ind w:left="720" w:hanging="720"/>
        <w:rPr>
          <w:b/>
          <w:bCs/>
        </w:rPr>
      </w:pPr>
      <w:r w:rsidRPr="00361EF6">
        <w:rPr>
          <w:b/>
          <w:bCs/>
        </w:rPr>
        <w:t>Q.</w:t>
      </w:r>
      <w:r w:rsidRPr="00361EF6">
        <w:rPr>
          <w:b/>
          <w:bCs/>
        </w:rPr>
        <w:tab/>
        <w:t>WHERE DOES THE COMPANY OBTAIN THE CAPITAL IT NEEDS TO INVEST IN ITS TRANSMISSION AND DISTRIBUTION SYSTEM EACH YEAR IN RESPONSE TO THE DEVELOPMENTS YOU HAVE JUST DESCRIBED?</w:t>
      </w:r>
    </w:p>
    <w:p w14:paraId="14088224" w14:textId="15A78EB8" w:rsidR="00D93CC6" w:rsidRDefault="00D93CC6" w:rsidP="00361EF6">
      <w:pPr>
        <w:spacing w:line="480" w:lineRule="auto"/>
        <w:ind w:left="720" w:hanging="720"/>
        <w:rPr>
          <w:b/>
        </w:rPr>
      </w:pPr>
      <w:r>
        <w:t>A.</w:t>
      </w:r>
      <w:r>
        <w:tab/>
        <w:t xml:space="preserve">The sources of funds for investing in our system are: (1) the revenues generated from customer payments, (2) loans and the sale of bonds (commonly referred to as debt), (3) investors (commonly referred to as equity), and (4) occasionally, government grants.  </w:t>
      </w:r>
    </w:p>
    <w:p w14:paraId="257563DD" w14:textId="6893805B" w:rsidR="00D93CC6" w:rsidRPr="00361EF6" w:rsidRDefault="00D93CC6" w:rsidP="00361EF6">
      <w:pPr>
        <w:spacing w:line="480" w:lineRule="auto"/>
        <w:ind w:left="630" w:hanging="630"/>
        <w:rPr>
          <w:b/>
          <w:bCs/>
        </w:rPr>
      </w:pPr>
      <w:r w:rsidRPr="00361EF6">
        <w:rPr>
          <w:b/>
          <w:bCs/>
        </w:rPr>
        <w:t>Q.</w:t>
      </w:r>
      <w:r w:rsidRPr="00361EF6">
        <w:rPr>
          <w:b/>
          <w:bCs/>
        </w:rPr>
        <w:tab/>
        <w:t>WHY CAN’T THE COMPANY SIMPLY RELY ON THAT FIRST CATEGORY, WHICH IS THE REVENUES GENERATED FROM CUSTOMER PAYMENTS, TO FUND NEW INVESTMENT?</w:t>
      </w:r>
    </w:p>
    <w:p w14:paraId="2384E563" w14:textId="638CCF19" w:rsidR="00D93CC6" w:rsidRDefault="00D93CC6" w:rsidP="00361EF6">
      <w:pPr>
        <w:spacing w:line="480" w:lineRule="auto"/>
        <w:ind w:left="630" w:hanging="630"/>
        <w:rPr>
          <w:b/>
        </w:rPr>
      </w:pPr>
      <w:r>
        <w:t>A.</w:t>
      </w:r>
      <w:r>
        <w:tab/>
        <w:t xml:space="preserve">The Company’s rates are designed to recover its annual revenue requirement as shown on the Commission-approved schedules included in this application, which mostly includes </w:t>
      </w:r>
      <w:r w:rsidRPr="00FD7975">
        <w:t xml:space="preserve">its </w:t>
      </w:r>
      <w:r w:rsidRPr="6E041BEC">
        <w:rPr>
          <w:i/>
        </w:rPr>
        <w:t>historical</w:t>
      </w:r>
      <w:r w:rsidRPr="4A48A633">
        <w:rPr>
          <w:i/>
          <w:iCs/>
        </w:rPr>
        <w:t xml:space="preserve"> </w:t>
      </w:r>
      <w:r>
        <w:t xml:space="preserve">annual O&amp;M costs (based on a test year), recovery of its </w:t>
      </w:r>
      <w:r w:rsidRPr="4A48A633">
        <w:rPr>
          <w:i/>
          <w:iCs/>
        </w:rPr>
        <w:t>past</w:t>
      </w:r>
      <w:r>
        <w:t xml:space="preserve"> investments (in the form of depreciation expense), and a return on those </w:t>
      </w:r>
      <w:r w:rsidRPr="4A48A633">
        <w:rPr>
          <w:i/>
          <w:iCs/>
        </w:rPr>
        <w:t>past</w:t>
      </w:r>
      <w:r>
        <w:t xml:space="preserve"> investments.  Those rates, once set using that historical information, must also cover increasing costs going forward, such as labor and other expenses that tend to increase year over year. The rates set by the Commission are not really intended to provide sufficient funds for </w:t>
      </w:r>
      <w:r w:rsidRPr="4A48A633">
        <w:rPr>
          <w:i/>
          <w:iCs/>
        </w:rPr>
        <w:t xml:space="preserve">future </w:t>
      </w:r>
      <w:r>
        <w:t xml:space="preserve">investment; that expected future investment is not addressed anywhere in the rate schedules filed in rate cases. </w:t>
      </w:r>
    </w:p>
    <w:p w14:paraId="3C60C11C" w14:textId="704C986A" w:rsidR="00D93CC6" w:rsidRPr="00361EF6" w:rsidRDefault="00D93CC6" w:rsidP="00343E75">
      <w:pPr>
        <w:keepNext/>
        <w:keepLines/>
        <w:spacing w:line="480" w:lineRule="auto"/>
        <w:ind w:left="634" w:hanging="634"/>
        <w:rPr>
          <w:b/>
          <w:bCs/>
        </w:rPr>
      </w:pPr>
      <w:r w:rsidRPr="00361EF6">
        <w:rPr>
          <w:b/>
          <w:bCs/>
        </w:rPr>
        <w:lastRenderedPageBreak/>
        <w:t>Q.</w:t>
      </w:r>
      <w:r w:rsidRPr="00361EF6">
        <w:rPr>
          <w:b/>
          <w:bCs/>
        </w:rPr>
        <w:tab/>
        <w:t>REGARDING THE FOURTH CATEGORY, GOVERNMENT GRANTS, WHAT IS THE COMPANY DOING TO PURSUE THAT SOURCE OF FUNDS TO ADDRESS CENTERPOINT HOUSTON’S INVESTMENT NEEDS?</w:t>
      </w:r>
    </w:p>
    <w:p w14:paraId="66DD2736" w14:textId="77777777" w:rsidR="00D93CC6" w:rsidRDefault="00D93CC6" w:rsidP="00361EF6">
      <w:pPr>
        <w:spacing w:line="480" w:lineRule="auto"/>
        <w:ind w:left="630" w:hanging="630"/>
        <w:rPr>
          <w:b/>
        </w:rPr>
      </w:pPr>
      <w:r>
        <w:t>A.</w:t>
      </w:r>
      <w:r>
        <w:tab/>
        <w:t xml:space="preserve">There are some government grants available to help fund utility infrastructure, and CenterPoint has been diligent in pursuing such funds over the past few decades. The Company’s current intelligent grid and network of advanced meter systems, for example, were built with the assistance of a $200 million grant in 2010 from the U.S. Department of Energy (“DOE”). CenterPoint Houston was one of only six utilities to receive the maximum award available for any large project and used the money to accelerate the deployment of its AMS system and invest in additional intelligent grid improvements. More recently, in 2023, the Company submitted a $100 million application in the first round of the DOE Grid Resilience and Innovation Partnerships (“GRIP”) Program to fund high wind and flood mitigation projects but was not ultimately selected for a grant.  In January 2024, we submitted two concept papers for $100 million each in the second round of GRIP Program grant applications, again seeking to fund high wind and flood mitigation projects, as well as more resilient metering technology.   We expect to find out soon whether we will be invited to submit a full application on these concept papers.  Later this month, we intend to submit a concept paper for a grant as part of the DOE’s Transmission Facilitation Program to fund one or more transmission projects.  And when the Texas Department of Emergency Management opens its process to administer the Texas allocation of GRIP funding, we plan to apply there as well.  But while we are </w:t>
      </w:r>
      <w:r>
        <w:lastRenderedPageBreak/>
        <w:t xml:space="preserve">pursuing all reasonable grant opportunities to help fund the capital needs of the Company, and despite our past success, receiving grant funding is not a certainty and, even when successful, the amounts available are small relative to the need. </w:t>
      </w:r>
    </w:p>
    <w:p w14:paraId="4D362CDD" w14:textId="398411FB" w:rsidR="00D93CC6" w:rsidRPr="00361EF6" w:rsidRDefault="00D93CC6" w:rsidP="00361EF6">
      <w:pPr>
        <w:spacing w:line="480" w:lineRule="auto"/>
        <w:ind w:left="630" w:hanging="630"/>
        <w:rPr>
          <w:b/>
          <w:bCs/>
        </w:rPr>
      </w:pPr>
      <w:r w:rsidRPr="00361EF6">
        <w:rPr>
          <w:b/>
          <w:bCs/>
        </w:rPr>
        <w:t>Q.</w:t>
      </w:r>
      <w:r w:rsidRPr="00361EF6">
        <w:rPr>
          <w:b/>
          <w:bCs/>
        </w:rPr>
        <w:tab/>
        <w:t>HOW, THEN, DOES THE COMPANY PROPOSE TO RAISE THE FUNDS TO MAKE THE SYSTEM INVESTMENTS THAT ARE NECESSARY IN OVER THE COMING YEARS?</w:t>
      </w:r>
    </w:p>
    <w:p w14:paraId="326409DB" w14:textId="1BBD5EFA" w:rsidR="00D93CC6" w:rsidRDefault="00D93CC6" w:rsidP="00361EF6">
      <w:pPr>
        <w:spacing w:line="480" w:lineRule="auto"/>
        <w:ind w:left="630" w:hanging="630"/>
        <w:rPr>
          <w:b/>
        </w:rPr>
      </w:pPr>
      <w:r>
        <w:t>A.</w:t>
      </w:r>
      <w:r>
        <w:tab/>
        <w:t xml:space="preserve">We will use sources two and three from my list above: debt and equity.  And reflecting the </w:t>
      </w:r>
      <w:r w:rsidRPr="4A48A633">
        <w:rPr>
          <w:i/>
          <w:iCs/>
        </w:rPr>
        <w:t xml:space="preserve">actual </w:t>
      </w:r>
      <w:r>
        <w:t xml:space="preserve">amount (not a </w:t>
      </w:r>
      <w:r w:rsidRPr="4A48A633">
        <w:rPr>
          <w:i/>
          <w:iCs/>
        </w:rPr>
        <w:t xml:space="preserve">hypothetical </w:t>
      </w:r>
      <w:r>
        <w:t xml:space="preserve">amount) of debt and equity in the costs we recover coming out of this case is a topic of foremost importance.  </w:t>
      </w:r>
    </w:p>
    <w:p w14:paraId="42DADBCB" w14:textId="77777777" w:rsidR="00D93CC6" w:rsidRPr="00361EF6" w:rsidRDefault="00D93CC6" w:rsidP="00361EF6">
      <w:pPr>
        <w:spacing w:line="480" w:lineRule="auto"/>
        <w:ind w:left="630" w:hanging="630"/>
        <w:rPr>
          <w:b/>
          <w:bCs/>
        </w:rPr>
      </w:pPr>
      <w:r w:rsidRPr="00361EF6">
        <w:rPr>
          <w:b/>
          <w:bCs/>
        </w:rPr>
        <w:t xml:space="preserve">Q.  </w:t>
      </w:r>
      <w:r w:rsidRPr="00361EF6">
        <w:rPr>
          <w:b/>
          <w:bCs/>
        </w:rPr>
        <w:tab/>
        <w:t>WHY DO YOU THINK USING THE ACTUAL CAPITAL STRUCTURE IS AN IMPORTANT TOPIC FOR THE COMMISSION TO CONSIDER?</w:t>
      </w:r>
    </w:p>
    <w:p w14:paraId="612ECE4A" w14:textId="6055BCB3" w:rsidR="00D93CC6" w:rsidRDefault="00D93CC6" w:rsidP="00361EF6">
      <w:pPr>
        <w:spacing w:line="480" w:lineRule="auto"/>
        <w:ind w:left="630" w:hanging="630"/>
        <w:rPr>
          <w:b/>
        </w:rPr>
      </w:pPr>
      <w:r>
        <w:t>A.</w:t>
      </w:r>
      <w:r>
        <w:tab/>
        <w:t xml:space="preserve">It is important to note here at the beginning of this discussion that the rate case schedules required by the Commission and included in this application are based on </w:t>
      </w:r>
      <w:r w:rsidRPr="4B8DF13A">
        <w:rPr>
          <w:i/>
          <w:iCs/>
        </w:rPr>
        <w:t xml:space="preserve">actual </w:t>
      </w:r>
      <w:r>
        <w:t xml:space="preserve">books and records of the Company; they do not include </w:t>
      </w:r>
      <w:r w:rsidRPr="4B8DF13A">
        <w:rPr>
          <w:i/>
          <w:iCs/>
        </w:rPr>
        <w:t xml:space="preserve">hypothetical </w:t>
      </w:r>
      <w:r>
        <w:t xml:space="preserve">numbers.  The closest things to hypothetical numbers in the Commission-required rate schedules are the few instances where actual numbers for multiple years are averaged to get </w:t>
      </w:r>
      <w:r w:rsidRPr="4B8DF13A">
        <w:rPr>
          <w:i/>
          <w:iCs/>
        </w:rPr>
        <w:t>normalized</w:t>
      </w:r>
      <w:r>
        <w:t xml:space="preserve"> actual numbers.</w:t>
      </w:r>
      <w:r w:rsidRPr="008308CE">
        <w:rPr>
          <w:vertAlign w:val="superscript"/>
        </w:rPr>
        <w:footnoteReference w:id="20"/>
      </w:r>
      <w:r>
        <w:t xml:space="preserve"> </w:t>
      </w:r>
    </w:p>
    <w:p w14:paraId="5BACDB07" w14:textId="77777777" w:rsidR="00D93CC6" w:rsidRDefault="00D93CC6" w:rsidP="00361EF6">
      <w:pPr>
        <w:spacing w:line="480" w:lineRule="auto"/>
        <w:ind w:left="630"/>
        <w:rPr>
          <w:b/>
        </w:rPr>
      </w:pPr>
      <w:r>
        <w:t xml:space="preserve">The reasonableness of the Company’s actual capital structure during the test year is covered by Company witness Jacqueline M. Richert, Vice President, Corporate Planning, Investor Relations, and Treasurer, as well as Ann E. Bulkley of the Brattle Group.  And the purpose of my testimony is not to repeat that testimony.  Rather, it is to highlight the continued practice in TDU rate cases to dismiss the use of </w:t>
      </w:r>
      <w:r w:rsidRPr="4A48A633">
        <w:rPr>
          <w:i/>
          <w:iCs/>
        </w:rPr>
        <w:t xml:space="preserve">actual </w:t>
      </w:r>
      <w:r>
        <w:lastRenderedPageBreak/>
        <w:t xml:space="preserve">capital structures in favor of a </w:t>
      </w:r>
      <w:r w:rsidRPr="4A48A633">
        <w:rPr>
          <w:i/>
          <w:iCs/>
        </w:rPr>
        <w:t xml:space="preserve">hypothetical </w:t>
      </w:r>
      <w:r>
        <w:t xml:space="preserve">one.  Doing that amounts to a disallowance of actual capital costs of the TDU, and disallowances are usually based on a finding of an item being imprudent or unreasonable.  That’s not been typical with the disallowances of actual capital costs for TDUs, though.  Instead, prior Commission decisions tend to focus on a </w:t>
      </w:r>
      <w:r w:rsidRPr="4A48A633">
        <w:rPr>
          <w:i/>
          <w:iCs/>
        </w:rPr>
        <w:t xml:space="preserve">hypothetical </w:t>
      </w:r>
      <w:r>
        <w:t xml:space="preserve">capital structure being reasonable, often without articulating why a portion of the </w:t>
      </w:r>
      <w:r w:rsidRPr="4A48A633">
        <w:rPr>
          <w:i/>
          <w:iCs/>
        </w:rPr>
        <w:t xml:space="preserve">actual </w:t>
      </w:r>
      <w:r>
        <w:t xml:space="preserve">cost of capital should be disallowed.  This unusual handling of this cost item may be based, at least in part, on the one-time need to use a </w:t>
      </w:r>
      <w:r w:rsidRPr="4A48A633">
        <w:rPr>
          <w:i/>
          <w:iCs/>
        </w:rPr>
        <w:t xml:space="preserve">hypothetical </w:t>
      </w:r>
      <w:r>
        <w:t xml:space="preserve">capital structure for TDUs when they were first created as part of the unbundling period beginning in 2001, before they had an </w:t>
      </w:r>
      <w:r w:rsidRPr="4A48A633">
        <w:rPr>
          <w:i/>
          <w:iCs/>
        </w:rPr>
        <w:t xml:space="preserve">actual </w:t>
      </w:r>
      <w:r>
        <w:t xml:space="preserve">capital structure that could be used for rates.  That approach was a major departure, for the first time (at least in the case of the Company), from using the TDU’s actual capital structure.  Below I describe that history in more detail, explaining how the Commission has gone from (1) using the Company’s </w:t>
      </w:r>
      <w:r w:rsidRPr="4A48A633">
        <w:rPr>
          <w:i/>
          <w:iCs/>
        </w:rPr>
        <w:t xml:space="preserve">actual </w:t>
      </w:r>
      <w:r>
        <w:t xml:space="preserve">capital structure in rates before 2001, to (2) using a </w:t>
      </w:r>
      <w:r w:rsidRPr="4A48A633">
        <w:rPr>
          <w:i/>
          <w:iCs/>
        </w:rPr>
        <w:t xml:space="preserve">hypothetical </w:t>
      </w:r>
      <w:r>
        <w:t xml:space="preserve">capital structure when unbundled TDUs were first formed and had no </w:t>
      </w:r>
      <w:r w:rsidRPr="4A48A633">
        <w:rPr>
          <w:i/>
          <w:iCs/>
        </w:rPr>
        <w:t xml:space="preserve">actual </w:t>
      </w:r>
      <w:r>
        <w:t xml:space="preserve">capital structure, to (3) the more than two decades since unbundling during which the Commission has continued to use a variety of </w:t>
      </w:r>
      <w:r w:rsidRPr="4A48A633">
        <w:rPr>
          <w:i/>
          <w:iCs/>
        </w:rPr>
        <w:t xml:space="preserve">hypothetical </w:t>
      </w:r>
      <w:r>
        <w:t xml:space="preserve">capital structures despite a long track record of </w:t>
      </w:r>
      <w:r w:rsidRPr="4A48A633">
        <w:rPr>
          <w:i/>
          <w:iCs/>
        </w:rPr>
        <w:t xml:space="preserve">actual </w:t>
      </w:r>
      <w:r>
        <w:t>capital structures.  I also compare the use of this hypothetical capital structure for unbundled ERCOT TDUs to the practice of using the actual capital structures for other Texas electric utilities and Texas gas utilities.</w:t>
      </w:r>
    </w:p>
    <w:p w14:paraId="115B75D6" w14:textId="77777777" w:rsidR="00D93CC6" w:rsidRPr="00361EF6" w:rsidRDefault="00D93CC6" w:rsidP="00361EF6">
      <w:pPr>
        <w:spacing w:line="480" w:lineRule="auto"/>
        <w:ind w:left="630" w:hanging="630"/>
        <w:rPr>
          <w:b/>
          <w:bCs/>
        </w:rPr>
      </w:pPr>
      <w:r w:rsidRPr="00361EF6">
        <w:rPr>
          <w:b/>
          <w:bCs/>
        </w:rPr>
        <w:t xml:space="preserve">Q.  </w:t>
      </w:r>
      <w:r w:rsidRPr="00361EF6">
        <w:rPr>
          <w:b/>
          <w:bCs/>
        </w:rPr>
        <w:tab/>
        <w:t>WHAT WAS THE ACTUAL CAPITAL STRUCTURE OF THE COMPANY DURING THE TEST YEAR?</w:t>
      </w:r>
    </w:p>
    <w:p w14:paraId="7CC4417E" w14:textId="77777777" w:rsidR="00D93CC6" w:rsidRDefault="00D93CC6" w:rsidP="00361EF6">
      <w:pPr>
        <w:spacing w:line="480" w:lineRule="auto"/>
        <w:rPr>
          <w:b/>
        </w:rPr>
      </w:pPr>
      <w:r>
        <w:t xml:space="preserve">A. </w:t>
      </w:r>
      <w:r>
        <w:tab/>
        <w:t xml:space="preserve">It was 55.10% debt and 44.90% equity.  </w:t>
      </w:r>
    </w:p>
    <w:p w14:paraId="10118C2B" w14:textId="77777777" w:rsidR="00D93CC6" w:rsidRPr="00361EF6" w:rsidRDefault="00D93CC6" w:rsidP="00361EF6">
      <w:pPr>
        <w:spacing w:line="480" w:lineRule="auto"/>
        <w:ind w:left="720" w:hanging="720"/>
        <w:rPr>
          <w:b/>
          <w:bCs/>
        </w:rPr>
      </w:pPr>
      <w:r w:rsidRPr="00361EF6">
        <w:rPr>
          <w:b/>
          <w:bCs/>
        </w:rPr>
        <w:lastRenderedPageBreak/>
        <w:t>Q.</w:t>
      </w:r>
      <w:r w:rsidRPr="00361EF6">
        <w:rPr>
          <w:b/>
          <w:bCs/>
        </w:rPr>
        <w:tab/>
        <w:t>WHAT CAPITAL STRUCTURE DID THE COMMISSION ADOPT IN THE COMPANY’S LAST BASE RATE PROCEEDING?</w:t>
      </w:r>
    </w:p>
    <w:p w14:paraId="0C3AF7CF" w14:textId="77777777" w:rsidR="00D93CC6" w:rsidRDefault="00D93CC6" w:rsidP="00361EF6">
      <w:pPr>
        <w:spacing w:line="480" w:lineRule="auto"/>
        <w:ind w:left="810" w:hanging="810"/>
        <w:rPr>
          <w:b/>
        </w:rPr>
      </w:pPr>
      <w:r>
        <w:t>A.</w:t>
      </w:r>
      <w:r>
        <w:tab/>
        <w:t xml:space="preserve">In Docket No. 49421, Commission Staff recommended a </w:t>
      </w:r>
      <w:r w:rsidRPr="4B8DF13A">
        <w:rPr>
          <w:i/>
          <w:iCs/>
        </w:rPr>
        <w:t>hypothetical</w:t>
      </w:r>
      <w:r>
        <w:t xml:space="preserve"> capital structure of 60% debt and 40% equity.  But the administrative law judges (“ALJs”) rejected that position and recommended a capital structure for ratemaking purposes of 55% debt and 45% equity, which was the Company’s </w:t>
      </w:r>
      <w:r w:rsidRPr="4B8DF13A">
        <w:rPr>
          <w:i/>
          <w:iCs/>
        </w:rPr>
        <w:t xml:space="preserve">actual </w:t>
      </w:r>
      <w:r>
        <w:t xml:space="preserve">capital structure during the test year in that case.  That 45% equity structure was also the capital structure approved in the rate case immediately prior, Docket No. 38339, and consistent with the Company’s </w:t>
      </w:r>
      <w:r w:rsidRPr="4B8DF13A">
        <w:rPr>
          <w:i/>
          <w:iCs/>
        </w:rPr>
        <w:t xml:space="preserve">actual </w:t>
      </w:r>
      <w:r>
        <w:t xml:space="preserve">capital structure during the test year used in that case.  </w:t>
      </w:r>
    </w:p>
    <w:p w14:paraId="4D417DCA" w14:textId="77777777" w:rsidR="00D93CC6" w:rsidRDefault="00D93CC6" w:rsidP="00361EF6">
      <w:pPr>
        <w:spacing w:line="480" w:lineRule="auto"/>
        <w:ind w:left="810"/>
        <w:rPr>
          <w:b/>
        </w:rPr>
      </w:pPr>
      <w:r>
        <w:t xml:space="preserve">However, during its open meeting discussions to consider the ALJs’ proposed decision in Docket No. 49421, the Commission appeared poised to approve the </w:t>
      </w:r>
      <w:r w:rsidRPr="4B8DF13A">
        <w:rPr>
          <w:i/>
          <w:iCs/>
        </w:rPr>
        <w:t xml:space="preserve">hypothetical </w:t>
      </w:r>
      <w:r>
        <w:t xml:space="preserve">60/40 debt/equity ratio as recommended by Commission Staff. The proceeding ultimately settled, and the Commission approved the settlement which included a capital structure of 57.5% debt and 42.5% equity, which was not the Company’s </w:t>
      </w:r>
      <w:r w:rsidRPr="4B8DF13A">
        <w:rPr>
          <w:i/>
          <w:iCs/>
        </w:rPr>
        <w:t xml:space="preserve">actual </w:t>
      </w:r>
      <w:r>
        <w:t xml:space="preserve">capital structure as the judges had recommended, but not as extreme a </w:t>
      </w:r>
      <w:r w:rsidRPr="4B8DF13A">
        <w:rPr>
          <w:i/>
          <w:iCs/>
        </w:rPr>
        <w:t xml:space="preserve">hypothetical </w:t>
      </w:r>
      <w:r>
        <w:t>capital structure as a 60/40 debt to equity ratio.  The relevant part of the Order in Docket No. 49421 is attached as Exhibit JMR-2.</w:t>
      </w:r>
    </w:p>
    <w:p w14:paraId="6483940F" w14:textId="77777777" w:rsidR="00D93CC6" w:rsidRPr="00361EF6" w:rsidRDefault="00D93CC6" w:rsidP="00361EF6">
      <w:pPr>
        <w:spacing w:line="480" w:lineRule="auto"/>
        <w:ind w:left="810" w:hanging="810"/>
        <w:rPr>
          <w:b/>
          <w:bCs/>
        </w:rPr>
      </w:pPr>
      <w:r w:rsidRPr="00361EF6">
        <w:rPr>
          <w:b/>
          <w:bCs/>
        </w:rPr>
        <w:t>Q.</w:t>
      </w:r>
      <w:r w:rsidRPr="00361EF6">
        <w:rPr>
          <w:b/>
          <w:bCs/>
        </w:rPr>
        <w:tab/>
        <w:t>WHAT WAS THE BASIS FOR STAFF’S RECOMMENDATION IN THE LAST RATE CASE OF A 60/40 DEBT TO EQUITY RATIO?</w:t>
      </w:r>
    </w:p>
    <w:p w14:paraId="26D3EFF2" w14:textId="5B4146E4" w:rsidR="00D93CC6" w:rsidRDefault="00D93CC6" w:rsidP="00361EF6">
      <w:pPr>
        <w:spacing w:line="480" w:lineRule="auto"/>
        <w:ind w:left="810" w:hanging="810"/>
        <w:rPr>
          <w:rStyle w:val="FootnoteReference"/>
          <w:b/>
          <w:vertAlign w:val="baseline"/>
        </w:rPr>
      </w:pPr>
      <w:r w:rsidRPr="4B8DF13A">
        <w:t>A.</w:t>
      </w:r>
      <w:r>
        <w:tab/>
      </w:r>
      <w:r w:rsidRPr="0FEAB267">
        <w:t xml:space="preserve">While acknowledging that the equity ratio for </w:t>
      </w:r>
      <w:r w:rsidRPr="4B8DF13A">
        <w:t>TDUs</w:t>
      </w:r>
      <w:r w:rsidRPr="1CCFF1E7">
        <w:t xml:space="preserve"> </w:t>
      </w:r>
      <w:r w:rsidRPr="4B8DF13A">
        <w:t xml:space="preserve">around the country had been “trending upward from around 45% in 2001 to almost 50% in 2018,” the Staff witness on capital structure nevertheless recommended a 40% equity ratio, </w:t>
      </w:r>
      <w:r w:rsidRPr="4B8DF13A">
        <w:lastRenderedPageBreak/>
        <w:t>“</w:t>
      </w:r>
      <w:r>
        <w:t>consistent with the Commission's ruling in Docket No. 22344, which found that a uniform capital structure consisting of 60% long term debt and 40% common equity was appropriate for ratemaking purposes for all TDUs operating in Texas.”</w:t>
      </w:r>
      <w:r w:rsidRPr="4B8DF13A">
        <w:rPr>
          <w:rStyle w:val="FootnoteReference"/>
        </w:rPr>
        <w:footnoteReference w:id="21"/>
      </w:r>
      <w:r w:rsidRPr="6E041BEC">
        <w:rPr>
          <w:rStyle w:val="FootnoteReference"/>
        </w:rPr>
        <w:t xml:space="preserve"> </w:t>
      </w:r>
      <w:r w:rsidRPr="6E041BEC">
        <w:rPr>
          <w:rStyle w:val="FootnoteReference"/>
          <w:vertAlign w:val="baseline"/>
        </w:rPr>
        <w:t>In other words, the basis of Staff’s recommendation in 2019 was the nearly two-decades old decision in Docket No. 22344.</w:t>
      </w:r>
    </w:p>
    <w:p w14:paraId="2BA8F15B" w14:textId="77777777" w:rsidR="00D93CC6" w:rsidRPr="002C4037" w:rsidRDefault="00D93CC6" w:rsidP="002C4037">
      <w:pPr>
        <w:spacing w:line="480" w:lineRule="auto"/>
        <w:ind w:left="810" w:hanging="810"/>
        <w:rPr>
          <w:b/>
          <w:bCs/>
        </w:rPr>
      </w:pPr>
      <w:r w:rsidRPr="002C4037">
        <w:rPr>
          <w:b/>
          <w:bCs/>
        </w:rPr>
        <w:t>Q.</w:t>
      </w:r>
      <w:r w:rsidRPr="002C4037">
        <w:rPr>
          <w:b/>
          <w:bCs/>
        </w:rPr>
        <w:tab/>
        <w:t xml:space="preserve"> WHY, IN DOCKET NO. 22344, DID THE COMMISSION USE A </w:t>
      </w:r>
      <w:r w:rsidRPr="002C4037">
        <w:rPr>
          <w:b/>
          <w:bCs/>
          <w:i/>
          <w:iCs/>
        </w:rPr>
        <w:t xml:space="preserve">HYPOTHETICAL </w:t>
      </w:r>
      <w:r w:rsidRPr="002C4037">
        <w:rPr>
          <w:b/>
          <w:bCs/>
        </w:rPr>
        <w:t xml:space="preserve">60/40 “UNIFORM CAPITAL STRUCTURE” INSTEAD OF THE UTILITY’S </w:t>
      </w:r>
      <w:r w:rsidRPr="002C4037">
        <w:rPr>
          <w:b/>
          <w:bCs/>
          <w:i/>
          <w:iCs/>
        </w:rPr>
        <w:t xml:space="preserve">ACTUAL </w:t>
      </w:r>
      <w:r w:rsidRPr="002C4037">
        <w:rPr>
          <w:b/>
          <w:bCs/>
        </w:rPr>
        <w:t>CAPITAL STRUCTURE WHEN CALCULATING A UTILITY’S BASE RATE?</w:t>
      </w:r>
    </w:p>
    <w:p w14:paraId="0B3FECC1" w14:textId="77777777" w:rsidR="00D93CC6" w:rsidRDefault="00D93CC6" w:rsidP="002C4037">
      <w:pPr>
        <w:spacing w:line="480" w:lineRule="auto"/>
        <w:ind w:left="810" w:hanging="810"/>
        <w:rPr>
          <w:b/>
        </w:rPr>
      </w:pPr>
      <w:r>
        <w:t>A.</w:t>
      </w:r>
      <w:r>
        <w:tab/>
        <w:t>The uniform 60/40 capital structure was originally adopted in Docket No. 22344 to address a transitionary unbundling period starting in 2001, and was a departure from prior Commission precedent, but for good reason: TDUs were new entities without historical capital structures in that new form.  The relevant portion of Order No. 42 in Docket No. 22344, in which the Commission acknowledged that the hypothetical 60/40 capital structure was being adopted “for the newly unbundled TDUs during the transition period,”</w:t>
      </w:r>
      <w:r>
        <w:rPr>
          <w:rStyle w:val="FootnoteReference"/>
        </w:rPr>
        <w:footnoteReference w:id="22"/>
      </w:r>
      <w:r>
        <w:t xml:space="preserve"> is attached as Exhibit JMR-3. </w:t>
      </w:r>
    </w:p>
    <w:p w14:paraId="2E6A6089" w14:textId="77777777" w:rsidR="00D93CC6" w:rsidRPr="002C4037" w:rsidRDefault="00D93CC6" w:rsidP="002C4037">
      <w:pPr>
        <w:spacing w:line="480" w:lineRule="auto"/>
        <w:ind w:left="810" w:hanging="810"/>
        <w:rPr>
          <w:b/>
          <w:bCs/>
        </w:rPr>
      </w:pPr>
      <w:r w:rsidRPr="002C4037">
        <w:rPr>
          <w:b/>
          <w:bCs/>
        </w:rPr>
        <w:t>Q.</w:t>
      </w:r>
      <w:r w:rsidRPr="002C4037">
        <w:rPr>
          <w:b/>
          <w:bCs/>
        </w:rPr>
        <w:tab/>
        <w:t xml:space="preserve">DID THE COMMISSION USE THE COMPANY’S </w:t>
      </w:r>
      <w:r w:rsidRPr="002C4037">
        <w:rPr>
          <w:b/>
          <w:bCs/>
          <w:i/>
        </w:rPr>
        <w:t xml:space="preserve">ACTUAL </w:t>
      </w:r>
      <w:r w:rsidRPr="002C4037">
        <w:rPr>
          <w:b/>
          <w:bCs/>
        </w:rPr>
        <w:t>CAPITAL STRUCTURE FOR RATEMAKING PURPOSES BEFORE DOCKET NO. 22344?</w:t>
      </w:r>
    </w:p>
    <w:p w14:paraId="420638FE" w14:textId="1B580960" w:rsidR="00D93CC6" w:rsidRDefault="00D93CC6" w:rsidP="002C4037">
      <w:pPr>
        <w:spacing w:line="480" w:lineRule="auto"/>
        <w:ind w:left="810" w:hanging="810"/>
        <w:rPr>
          <w:b/>
        </w:rPr>
      </w:pPr>
      <w:r>
        <w:t xml:space="preserve">A.  </w:t>
      </w:r>
      <w:r>
        <w:tab/>
        <w:t xml:space="preserve">Yes.  Before the unbundling of the electric utility market and the setting of rates under Docket No. 22344, the Commission generally calculated a utility’s base rate </w:t>
      </w:r>
      <w:r>
        <w:lastRenderedPageBreak/>
        <w:t xml:space="preserve">using the utility’s actual capital structure. For example, in 1990 (Docket Nos. 8425 &amp; 8431), the Commission calculated the base rates of the Company’s predecessor, Houston Lighting and Power, using its </w:t>
      </w:r>
      <w:r w:rsidRPr="4B8DF13A">
        <w:rPr>
          <w:i/>
          <w:iCs/>
        </w:rPr>
        <w:t xml:space="preserve">actual </w:t>
      </w:r>
      <w:r>
        <w:t>capital structure of 50.4% debt and 49.6% equity.</w:t>
      </w:r>
      <w:r w:rsidRPr="64D8CFC5">
        <w:rPr>
          <w:vertAlign w:val="superscript"/>
        </w:rPr>
        <w:footnoteReference w:id="23"/>
      </w:r>
      <w:r>
        <w:t xml:space="preserve"> The relevant portions of the final orders from these dockets are attached as Exhibit JMR-4. Similarly, in 1991, the Commission approved a non</w:t>
      </w:r>
      <w:r w:rsidR="00343E75">
        <w:noBreakHyphen/>
      </w:r>
      <w:r>
        <w:t xml:space="preserve">unanimous stipulation in Docket No. 9850 that set the Company’s rates using its </w:t>
      </w:r>
      <w:r w:rsidRPr="4B8DF13A">
        <w:rPr>
          <w:i/>
          <w:iCs/>
        </w:rPr>
        <w:t xml:space="preserve">actual </w:t>
      </w:r>
      <w:r>
        <w:t>capital structure (48.5% debt and 51.5% equity), a point which no party to the case contested.</w:t>
      </w:r>
      <w:r w:rsidRPr="64D8CFC5">
        <w:rPr>
          <w:vertAlign w:val="superscript"/>
        </w:rPr>
        <w:footnoteReference w:id="24"/>
      </w:r>
      <w:r>
        <w:t xml:space="preserve"> Exhibit JMR-5 contains excerpts from that order.</w:t>
      </w:r>
    </w:p>
    <w:p w14:paraId="03C53E38" w14:textId="77777777" w:rsidR="00D93CC6" w:rsidRPr="002C4037" w:rsidRDefault="00D93CC6" w:rsidP="002C4037">
      <w:pPr>
        <w:spacing w:line="480" w:lineRule="auto"/>
        <w:ind w:left="810" w:hanging="810"/>
        <w:rPr>
          <w:b/>
          <w:bCs/>
        </w:rPr>
      </w:pPr>
      <w:r w:rsidRPr="002C4037">
        <w:rPr>
          <w:b/>
          <w:bCs/>
        </w:rPr>
        <w:t>Q.</w:t>
      </w:r>
      <w:r w:rsidRPr="002C4037">
        <w:rPr>
          <w:b/>
          <w:bCs/>
        </w:rPr>
        <w:tab/>
        <w:t xml:space="preserve">PLEASE EXPLAIN FURTHER WHY THE COMMISSION CHANGED THE WAY IT TREATED CAPITAL STRUCTURE IN DOCKET NO. 22344, SO THAT THE CAPITAL STRUCTURE USED IN THE BASE RATE CALCULATION NO LONGER REFLECTED THE UTILITY’S </w:t>
      </w:r>
      <w:r w:rsidRPr="002C4037">
        <w:rPr>
          <w:b/>
          <w:bCs/>
          <w:i/>
        </w:rPr>
        <w:t xml:space="preserve">ACTUAL </w:t>
      </w:r>
      <w:r w:rsidRPr="002C4037">
        <w:rPr>
          <w:b/>
          <w:bCs/>
        </w:rPr>
        <w:t>CAPITAL STRUCTURE.</w:t>
      </w:r>
    </w:p>
    <w:p w14:paraId="40F0AAEF" w14:textId="77777777" w:rsidR="00D93CC6" w:rsidRDefault="00D93CC6" w:rsidP="002C4037">
      <w:pPr>
        <w:spacing w:line="480" w:lineRule="auto"/>
        <w:ind w:left="810" w:hanging="810"/>
        <w:rPr>
          <w:b/>
          <w:vertAlign w:val="superscript"/>
        </w:rPr>
      </w:pPr>
      <w:r>
        <w:t>A.</w:t>
      </w:r>
      <w:r>
        <w:tab/>
        <w:t xml:space="preserve">The Commission departed from using actual capital structure for the utilities within ERCOT (but not outside of ERCOT, as I explain below) when the electric industry in ERCOT unbundled in 2001. That was largely because there was no </w:t>
      </w:r>
      <w:r w:rsidRPr="4B8DF13A">
        <w:rPr>
          <w:i/>
          <w:iCs/>
        </w:rPr>
        <w:t>actual</w:t>
      </w:r>
      <w:r>
        <w:t xml:space="preserve">, historical capital structure for the newly formed TDUs, such as CenterPoint Houston, and there was considerable uncertainty about what the appropriate capital structure for these new entities would be.  Understandably, the Commission had no sure way of predicting what a TDU’s </w:t>
      </w:r>
      <w:r w:rsidRPr="4B8DF13A">
        <w:rPr>
          <w:i/>
          <w:iCs/>
        </w:rPr>
        <w:t xml:space="preserve">actual </w:t>
      </w:r>
      <w:r>
        <w:t xml:space="preserve">capital structure might look like. As a result, in Docket No. 22344, the Commission set a </w:t>
      </w:r>
      <w:r w:rsidRPr="4B8DF13A">
        <w:rPr>
          <w:i/>
          <w:iCs/>
        </w:rPr>
        <w:t xml:space="preserve">hypothetical </w:t>
      </w:r>
      <w:r>
        <w:t xml:space="preserve">capital </w:t>
      </w:r>
      <w:r>
        <w:lastRenderedPageBreak/>
        <w:t>structure of 60% debt and 40% equity for all TDUs.</w:t>
      </w:r>
      <w:r w:rsidRPr="64D8CFC5">
        <w:rPr>
          <w:vertAlign w:val="superscript"/>
        </w:rPr>
        <w:footnoteReference w:id="25"/>
      </w:r>
      <w:r>
        <w:t xml:space="preserve"> This decision is attached as Exhibit JMR-3. Notably, however, when the Commission applied this </w:t>
      </w:r>
      <w:r w:rsidRPr="4B8DF13A">
        <w:rPr>
          <w:i/>
          <w:iCs/>
        </w:rPr>
        <w:t xml:space="preserve">hypothetical </w:t>
      </w:r>
      <w:r>
        <w:t>capital structure, it also provided for a 0.5% (or 50 basis point) increase in ROE, in part to compensate the utility for the higher debt leverage of 60%.</w:t>
      </w:r>
      <w:r w:rsidRPr="64D8CFC5">
        <w:rPr>
          <w:rStyle w:val="FootnoteReference"/>
        </w:rPr>
        <w:footnoteReference w:id="26"/>
      </w:r>
      <w:r>
        <w:t xml:space="preserve"> This resulted in a total ROE for TDUs of 11.25%.</w:t>
      </w:r>
      <w:r w:rsidRPr="64D8CFC5">
        <w:rPr>
          <w:rStyle w:val="FootnoteReference"/>
        </w:rPr>
        <w:footnoteReference w:id="27"/>
      </w:r>
      <w:r>
        <w:t xml:space="preserve">  As noted by the Commission at the time, these decisions were closely tied to the transition period for newly unbundled TDUs.</w:t>
      </w:r>
      <w:r w:rsidRPr="64D8CFC5">
        <w:rPr>
          <w:vertAlign w:val="superscript"/>
        </w:rPr>
        <w:footnoteReference w:id="28"/>
      </w:r>
    </w:p>
    <w:p w14:paraId="6BDA5C54" w14:textId="77777777" w:rsidR="00D93CC6" w:rsidRPr="002C4037" w:rsidRDefault="00D93CC6" w:rsidP="002C4037">
      <w:pPr>
        <w:spacing w:line="480" w:lineRule="auto"/>
        <w:ind w:left="720" w:hanging="720"/>
        <w:rPr>
          <w:b/>
          <w:bCs/>
        </w:rPr>
      </w:pPr>
      <w:r w:rsidRPr="002C4037">
        <w:rPr>
          <w:b/>
          <w:bCs/>
        </w:rPr>
        <w:t xml:space="preserve">Q.  </w:t>
      </w:r>
      <w:r w:rsidRPr="002C4037">
        <w:rPr>
          <w:b/>
          <w:bCs/>
        </w:rPr>
        <w:tab/>
        <w:t>HAS THE COMMISSION ALWAYS USED A 60/40 CAPITAL STRUCTURE SINCE DOCKET NO. 22344?</w:t>
      </w:r>
    </w:p>
    <w:p w14:paraId="3314E3A0" w14:textId="77777777" w:rsidR="00D93CC6" w:rsidRDefault="00D93CC6" w:rsidP="002C4037">
      <w:pPr>
        <w:spacing w:line="480" w:lineRule="auto"/>
        <w:ind w:left="720" w:hanging="720"/>
        <w:rPr>
          <w:b/>
        </w:rPr>
      </w:pPr>
      <w:r>
        <w:t>A.</w:t>
      </w:r>
      <w:r>
        <w:tab/>
        <w:t>No. For example, in the Company’s 2010 base rate case, Docket No. 38339, the Commission set the Company’s rates using a capital structure of 55% debt and 45% equity, which it described as “reasonable in light of CenterPoint’s business and regulatory risks.”</w:t>
      </w:r>
      <w:r w:rsidRPr="64D8CFC5">
        <w:rPr>
          <w:rStyle w:val="FootnoteReference"/>
        </w:rPr>
        <w:footnoteReference w:id="29"/>
      </w:r>
      <w:r>
        <w:t xml:space="preserve"> That capital structure was also very close to the Company’s 54.8% debt and 45.2% equity </w:t>
      </w:r>
      <w:r w:rsidRPr="4B8DF13A">
        <w:rPr>
          <w:i/>
          <w:iCs/>
        </w:rPr>
        <w:t xml:space="preserve">actual </w:t>
      </w:r>
      <w:r>
        <w:t>capital structure during the test year in that case.  Excerpts from that decision are attached as Exhibit JMR-6 to my testimony.</w:t>
      </w:r>
    </w:p>
    <w:p w14:paraId="436D3430" w14:textId="77777777" w:rsidR="00D93CC6" w:rsidRPr="002C4037" w:rsidRDefault="00D93CC6" w:rsidP="00343E75">
      <w:pPr>
        <w:keepNext/>
        <w:keepLines/>
        <w:spacing w:line="480" w:lineRule="auto"/>
        <w:ind w:left="720" w:hanging="720"/>
        <w:rPr>
          <w:b/>
          <w:bCs/>
        </w:rPr>
      </w:pPr>
      <w:r w:rsidRPr="002C4037">
        <w:rPr>
          <w:b/>
          <w:bCs/>
        </w:rPr>
        <w:lastRenderedPageBreak/>
        <w:t xml:space="preserve">Q.  </w:t>
      </w:r>
      <w:r w:rsidRPr="002C4037">
        <w:rPr>
          <w:b/>
          <w:bCs/>
        </w:rPr>
        <w:tab/>
        <w:t xml:space="preserve">HOW DOES THE USE OF A HYPOTHETICAL CAPITAL STRUCTURE FOR TDUs SINCE DOCKET NO. 22344 DIFFER FROM HOW THE COMMISSION REGULATES THE NON-ERCOT UTILITIES WHO NEVER WENT THROUGH THE TRANSITION WHERE THEY NEEDED A TRANSITORY </w:t>
      </w:r>
      <w:r w:rsidRPr="002C4037">
        <w:rPr>
          <w:b/>
          <w:bCs/>
          <w:i/>
          <w:iCs/>
        </w:rPr>
        <w:t xml:space="preserve">HYPOTHETICAL </w:t>
      </w:r>
      <w:r w:rsidRPr="002C4037">
        <w:rPr>
          <w:b/>
          <w:bCs/>
        </w:rPr>
        <w:t>CAPITAL STRUCTURE?</w:t>
      </w:r>
    </w:p>
    <w:p w14:paraId="4F77DEB7" w14:textId="0E65C597" w:rsidR="00D93CC6" w:rsidRDefault="00D93CC6" w:rsidP="002C4037">
      <w:pPr>
        <w:spacing w:line="480" w:lineRule="auto"/>
        <w:ind w:left="720" w:hanging="720"/>
        <w:rPr>
          <w:b/>
        </w:rPr>
      </w:pPr>
      <w:r>
        <w:t>A.</w:t>
      </w:r>
      <w:r>
        <w:tab/>
        <w:t xml:space="preserve">The integrated utilities in Texas but outside of ERCOT, who never unbundled and therefore never needed a </w:t>
      </w:r>
      <w:r w:rsidRPr="4B8DF13A">
        <w:rPr>
          <w:i/>
          <w:iCs/>
        </w:rPr>
        <w:t xml:space="preserve">hypothetical </w:t>
      </w:r>
      <w:r>
        <w:t xml:space="preserve">capital structure, largely have their </w:t>
      </w:r>
      <w:r w:rsidRPr="4B8DF13A">
        <w:rPr>
          <w:i/>
          <w:iCs/>
        </w:rPr>
        <w:t xml:space="preserve">actual </w:t>
      </w:r>
      <w:r>
        <w:t>capital structure used for ratemaking purposes. Figure JMR-7 below compares equity percentages in the capital structures of Texas utilities—both integrated non</w:t>
      </w:r>
      <w:r w:rsidR="00343E75">
        <w:noBreakHyphen/>
      </w:r>
      <w:r>
        <w:t xml:space="preserve">ERCOT utilities (the green bars) and ERCOT TDUs (the red bars)—as set by the Commission between 2009 and 2023 as well as the average for non-Texas transmission and distribution utilities (the blue line) during that same period.  </w:t>
      </w:r>
    </w:p>
    <w:p w14:paraId="44A8050C" w14:textId="77777777" w:rsidR="00D93CC6" w:rsidRPr="002C4037" w:rsidRDefault="00D93CC6" w:rsidP="002C4037">
      <w:pPr>
        <w:jc w:val="center"/>
        <w:rPr>
          <w:b/>
          <w:bCs/>
        </w:rPr>
      </w:pPr>
      <w:r w:rsidRPr="002C4037">
        <w:rPr>
          <w:b/>
          <w:bCs/>
        </w:rPr>
        <w:t>Figure JMR-7</w:t>
      </w:r>
    </w:p>
    <w:p w14:paraId="7CD66CC8" w14:textId="77777777" w:rsidR="00D93CC6" w:rsidRPr="002C4037" w:rsidRDefault="00D93CC6" w:rsidP="002C4037">
      <w:pPr>
        <w:spacing w:line="480" w:lineRule="auto"/>
        <w:jc w:val="center"/>
        <w:rPr>
          <w:b/>
          <w:bCs/>
        </w:rPr>
      </w:pPr>
      <w:r w:rsidRPr="002C4037">
        <w:rPr>
          <w:b/>
          <w:bCs/>
        </w:rPr>
        <w:t>Commission Treatment of Utility Capital Structure, 2009-2023</w:t>
      </w:r>
    </w:p>
    <w:p w14:paraId="2C19BB49" w14:textId="77777777" w:rsidR="00D93CC6" w:rsidRDefault="00D93CC6" w:rsidP="00D93CC6"/>
    <w:p w14:paraId="72329DEF" w14:textId="77777777" w:rsidR="00D93CC6" w:rsidRDefault="00D93CC6" w:rsidP="00D93CC6">
      <w:r>
        <w:rPr>
          <w:noProof/>
        </w:rPr>
        <w:drawing>
          <wp:inline distT="0" distB="0" distL="0" distR="0" wp14:anchorId="5447068B" wp14:editId="29648BAE">
            <wp:extent cx="4572000" cy="2162189"/>
            <wp:effectExtent l="0" t="0" r="0" b="0"/>
            <wp:docPr id="1239299594" name="Picture 1239299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extLst>
                        <a:ext uri="{28A0092B-C50C-407E-A947-70E740481C1C}">
                          <a14:useLocalDpi xmlns:a14="http://schemas.microsoft.com/office/drawing/2010/main" val="0"/>
                        </a:ext>
                      </a:extLst>
                    </a:blip>
                    <a:srcRect t="17454"/>
                    <a:stretch>
                      <a:fillRect/>
                    </a:stretch>
                  </pic:blipFill>
                  <pic:spPr>
                    <a:xfrm>
                      <a:off x="0" y="0"/>
                      <a:ext cx="4572000" cy="2162189"/>
                    </a:xfrm>
                    <a:prstGeom prst="rect">
                      <a:avLst/>
                    </a:prstGeom>
                  </pic:spPr>
                </pic:pic>
              </a:graphicData>
            </a:graphic>
          </wp:inline>
        </w:drawing>
      </w:r>
    </w:p>
    <w:p w14:paraId="1AE1BF6E" w14:textId="77777777" w:rsidR="00D93CC6" w:rsidRDefault="00D93CC6" w:rsidP="002C4037">
      <w:pPr>
        <w:spacing w:line="480" w:lineRule="auto"/>
        <w:ind w:left="720"/>
        <w:rPr>
          <w:b/>
        </w:rPr>
      </w:pPr>
      <w:r>
        <w:t xml:space="preserve">As shown above, assigning TDUs (the red bars) a </w:t>
      </w:r>
      <w:r w:rsidRPr="4B8DF13A">
        <w:rPr>
          <w:i/>
          <w:iCs/>
        </w:rPr>
        <w:t xml:space="preserve">hypothetical </w:t>
      </w:r>
      <w:r>
        <w:t xml:space="preserve">capital structure puts them out of line with other electric utilities in Texas (the green bars), as well as transmission and distribution utilities across the country.  To drive home the point </w:t>
      </w:r>
      <w:r>
        <w:lastRenderedPageBreak/>
        <w:t xml:space="preserve">made by Figure JMR-7, Figure JMR-8 shows the capital structures approved in Texas since 2009 for TDUs (which are largely very </w:t>
      </w:r>
      <w:r w:rsidRPr="4B8DF13A">
        <w:rPr>
          <w:i/>
          <w:iCs/>
        </w:rPr>
        <w:t>hypothetical</w:t>
      </w:r>
      <w:r>
        <w:t xml:space="preserve"> whole numbers), and Figure JMR-9 shows the capital structures set during the same period for integrated utilities (which, as the non-whole numbers suggest, are largely based on </w:t>
      </w:r>
      <w:r w:rsidRPr="4B8DF13A">
        <w:rPr>
          <w:i/>
          <w:iCs/>
        </w:rPr>
        <w:t>actual</w:t>
      </w:r>
      <w:r>
        <w:t xml:space="preserve"> capital structure).</w:t>
      </w:r>
    </w:p>
    <w:p w14:paraId="61799E20" w14:textId="77777777" w:rsidR="00D93CC6" w:rsidRDefault="00D93CC6" w:rsidP="00225592">
      <w:pPr>
        <w:widowControl w:val="0"/>
        <w:jc w:val="center"/>
        <w:rPr>
          <w:b/>
          <w:bCs/>
        </w:rPr>
      </w:pPr>
      <w:r w:rsidRPr="1CCFF1E7">
        <w:rPr>
          <w:b/>
          <w:bCs/>
        </w:rPr>
        <w:t>Figure JMR-8</w:t>
      </w:r>
    </w:p>
    <w:p w14:paraId="11B41030" w14:textId="77777777" w:rsidR="00D93CC6" w:rsidRDefault="00D93CC6" w:rsidP="00D93CC6">
      <w:pPr>
        <w:widowControl w:val="0"/>
        <w:spacing w:line="480" w:lineRule="auto"/>
        <w:jc w:val="center"/>
      </w:pPr>
      <w:r w:rsidRPr="52123FC5">
        <w:rPr>
          <w:b/>
          <w:bCs/>
        </w:rPr>
        <w:t>Texas TDU Capital Structures</w:t>
      </w:r>
      <w:r w:rsidRPr="4E87946B">
        <w:rPr>
          <w:b/>
          <w:bCs/>
        </w:rPr>
        <w:t xml:space="preserve">, </w:t>
      </w:r>
      <w:r w:rsidRPr="00BC76DE">
        <w:rPr>
          <w:b/>
        </w:rPr>
        <w:t>2009-2023</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363"/>
        <w:gridCol w:w="2002"/>
        <w:gridCol w:w="2231"/>
        <w:gridCol w:w="2763"/>
      </w:tblGrid>
      <w:tr w:rsidR="00D93CC6" w14:paraId="4C826D47" w14:textId="77777777" w:rsidTr="001F2FF7">
        <w:trPr>
          <w:trHeight w:val="300"/>
        </w:trPr>
        <w:tc>
          <w:tcPr>
            <w:tcW w:w="2363" w:type="dxa"/>
            <w:tcBorders>
              <w:top w:val="single" w:sz="8" w:space="0" w:color="auto"/>
              <w:left w:val="single" w:sz="8" w:space="0" w:color="auto"/>
              <w:bottom w:val="single" w:sz="8" w:space="0" w:color="auto"/>
              <w:right w:val="nil"/>
            </w:tcBorders>
          </w:tcPr>
          <w:p w14:paraId="43DDBDC1" w14:textId="77777777" w:rsidR="00D93CC6" w:rsidRDefault="00D93CC6" w:rsidP="001F2FF7">
            <w:pPr>
              <w:ind w:left="-20" w:right="-20"/>
              <w:rPr>
                <w:rFonts w:eastAsia="Times New Roman"/>
                <w:b/>
                <w:bCs/>
              </w:rPr>
            </w:pPr>
            <w:r w:rsidRPr="097552FA">
              <w:rPr>
                <w:rFonts w:eastAsia="Times New Roman"/>
                <w:b/>
                <w:bCs/>
              </w:rPr>
              <w:t xml:space="preserve">Utility </w:t>
            </w:r>
          </w:p>
        </w:tc>
        <w:tc>
          <w:tcPr>
            <w:tcW w:w="2002" w:type="dxa"/>
            <w:tcBorders>
              <w:top w:val="single" w:sz="8" w:space="0" w:color="auto"/>
              <w:left w:val="nil"/>
              <w:bottom w:val="single" w:sz="8" w:space="0" w:color="auto"/>
              <w:right w:val="nil"/>
            </w:tcBorders>
          </w:tcPr>
          <w:p w14:paraId="2CC5776C" w14:textId="77777777" w:rsidR="00D93CC6" w:rsidRDefault="00D93CC6" w:rsidP="001F2FF7">
            <w:pPr>
              <w:ind w:left="-20" w:right="-20"/>
              <w:rPr>
                <w:rFonts w:eastAsia="Times New Roman"/>
                <w:b/>
                <w:bCs/>
              </w:rPr>
            </w:pPr>
            <w:r w:rsidRPr="097552FA">
              <w:rPr>
                <w:rFonts w:eastAsia="Times New Roman"/>
                <w:b/>
                <w:bCs/>
              </w:rPr>
              <w:t>Year</w:t>
            </w:r>
          </w:p>
        </w:tc>
        <w:tc>
          <w:tcPr>
            <w:tcW w:w="2231" w:type="dxa"/>
            <w:tcBorders>
              <w:top w:val="single" w:sz="8" w:space="0" w:color="auto"/>
              <w:left w:val="nil"/>
              <w:bottom w:val="single" w:sz="8" w:space="0" w:color="auto"/>
              <w:right w:val="nil"/>
            </w:tcBorders>
          </w:tcPr>
          <w:p w14:paraId="2E8329B3" w14:textId="77777777" w:rsidR="00D93CC6" w:rsidRDefault="00D93CC6" w:rsidP="001F2FF7">
            <w:pPr>
              <w:ind w:left="-20" w:right="-20"/>
              <w:rPr>
                <w:rFonts w:eastAsia="Times New Roman"/>
                <w:b/>
                <w:bCs/>
              </w:rPr>
            </w:pPr>
            <w:r w:rsidRPr="097552FA">
              <w:rPr>
                <w:rFonts w:eastAsia="Times New Roman"/>
                <w:b/>
                <w:bCs/>
              </w:rPr>
              <w:t>Docket</w:t>
            </w:r>
          </w:p>
        </w:tc>
        <w:tc>
          <w:tcPr>
            <w:tcW w:w="2763" w:type="dxa"/>
            <w:tcBorders>
              <w:top w:val="single" w:sz="8" w:space="0" w:color="auto"/>
              <w:left w:val="nil"/>
              <w:bottom w:val="single" w:sz="8" w:space="0" w:color="auto"/>
              <w:right w:val="single" w:sz="8" w:space="0" w:color="auto"/>
            </w:tcBorders>
          </w:tcPr>
          <w:p w14:paraId="78E38C18" w14:textId="77777777" w:rsidR="00D93CC6" w:rsidRDefault="00D93CC6" w:rsidP="001F2FF7">
            <w:pPr>
              <w:ind w:left="-20" w:right="-20"/>
              <w:rPr>
                <w:rFonts w:eastAsia="Times New Roman"/>
                <w:b/>
                <w:bCs/>
              </w:rPr>
            </w:pPr>
            <w:r w:rsidRPr="097552FA">
              <w:rPr>
                <w:rFonts w:eastAsia="Times New Roman"/>
                <w:b/>
                <w:bCs/>
              </w:rPr>
              <w:t>Equity Percentage</w:t>
            </w:r>
          </w:p>
        </w:tc>
      </w:tr>
      <w:tr w:rsidR="00D93CC6" w14:paraId="1249B267" w14:textId="77777777" w:rsidTr="001F2FF7">
        <w:trPr>
          <w:trHeight w:val="300"/>
        </w:trPr>
        <w:tc>
          <w:tcPr>
            <w:tcW w:w="2363" w:type="dxa"/>
            <w:tcBorders>
              <w:top w:val="nil"/>
              <w:left w:val="single" w:sz="8" w:space="0" w:color="auto"/>
              <w:bottom w:val="nil"/>
              <w:right w:val="nil"/>
            </w:tcBorders>
          </w:tcPr>
          <w:p w14:paraId="42A720AC" w14:textId="77777777" w:rsidR="00D93CC6" w:rsidRDefault="00D93CC6" w:rsidP="001F2FF7">
            <w:pPr>
              <w:ind w:left="-20" w:right="-20"/>
              <w:rPr>
                <w:rFonts w:eastAsia="Times New Roman"/>
              </w:rPr>
            </w:pPr>
            <w:r w:rsidRPr="097552FA">
              <w:rPr>
                <w:rFonts w:eastAsia="Times New Roman"/>
              </w:rPr>
              <w:t>AEP Texas</w:t>
            </w:r>
          </w:p>
        </w:tc>
        <w:tc>
          <w:tcPr>
            <w:tcW w:w="2002" w:type="dxa"/>
            <w:tcBorders>
              <w:top w:val="nil"/>
              <w:left w:val="nil"/>
              <w:bottom w:val="nil"/>
              <w:right w:val="nil"/>
            </w:tcBorders>
          </w:tcPr>
          <w:p w14:paraId="209D4532" w14:textId="77777777" w:rsidR="00D93CC6" w:rsidRDefault="00D93CC6" w:rsidP="001F2FF7">
            <w:pPr>
              <w:ind w:left="-20" w:right="-20"/>
              <w:rPr>
                <w:rFonts w:eastAsia="Times New Roman"/>
              </w:rPr>
            </w:pPr>
            <w:r w:rsidRPr="097552FA">
              <w:rPr>
                <w:rFonts w:eastAsia="Times New Roman"/>
              </w:rPr>
              <w:t>2020</w:t>
            </w:r>
          </w:p>
        </w:tc>
        <w:tc>
          <w:tcPr>
            <w:tcW w:w="2231" w:type="dxa"/>
            <w:tcBorders>
              <w:top w:val="nil"/>
              <w:left w:val="nil"/>
              <w:bottom w:val="nil"/>
              <w:right w:val="nil"/>
            </w:tcBorders>
          </w:tcPr>
          <w:p w14:paraId="4C74596B" w14:textId="77777777" w:rsidR="00D93CC6" w:rsidRDefault="00D93CC6" w:rsidP="001F2FF7">
            <w:pPr>
              <w:ind w:left="-20" w:right="-20"/>
              <w:rPr>
                <w:rFonts w:eastAsia="Times New Roman"/>
              </w:rPr>
            </w:pPr>
            <w:r w:rsidRPr="097552FA">
              <w:rPr>
                <w:rFonts w:eastAsia="Times New Roman"/>
              </w:rPr>
              <w:t>49494</w:t>
            </w:r>
          </w:p>
        </w:tc>
        <w:tc>
          <w:tcPr>
            <w:tcW w:w="2763" w:type="dxa"/>
            <w:tcBorders>
              <w:top w:val="nil"/>
              <w:left w:val="nil"/>
              <w:bottom w:val="nil"/>
              <w:right w:val="single" w:sz="8" w:space="0" w:color="auto"/>
            </w:tcBorders>
          </w:tcPr>
          <w:p w14:paraId="269737F0" w14:textId="77777777" w:rsidR="00D93CC6" w:rsidRDefault="00D93CC6" w:rsidP="001F2FF7">
            <w:pPr>
              <w:ind w:left="-20" w:right="-20"/>
              <w:jc w:val="center"/>
              <w:rPr>
                <w:rFonts w:eastAsia="Times New Roman"/>
              </w:rPr>
            </w:pPr>
            <w:r w:rsidRPr="097552FA">
              <w:rPr>
                <w:rFonts w:eastAsia="Times New Roman"/>
              </w:rPr>
              <w:t>42.5%</w:t>
            </w:r>
          </w:p>
        </w:tc>
      </w:tr>
      <w:tr w:rsidR="00D93CC6" w14:paraId="38A7998F" w14:textId="77777777" w:rsidTr="001F2FF7">
        <w:trPr>
          <w:trHeight w:val="300"/>
        </w:trPr>
        <w:tc>
          <w:tcPr>
            <w:tcW w:w="2363" w:type="dxa"/>
            <w:tcBorders>
              <w:top w:val="nil"/>
              <w:left w:val="single" w:sz="8" w:space="0" w:color="auto"/>
              <w:bottom w:val="nil"/>
              <w:right w:val="nil"/>
            </w:tcBorders>
          </w:tcPr>
          <w:p w14:paraId="304DE672" w14:textId="77777777" w:rsidR="00D93CC6" w:rsidRDefault="00D93CC6" w:rsidP="001F2FF7">
            <w:pPr>
              <w:ind w:left="-20" w:right="-20"/>
              <w:rPr>
                <w:rFonts w:eastAsia="Times New Roman"/>
              </w:rPr>
            </w:pPr>
            <w:r w:rsidRPr="097552FA">
              <w:rPr>
                <w:rFonts w:eastAsia="Times New Roman"/>
              </w:rPr>
              <w:t>AEP Texas</w:t>
            </w:r>
          </w:p>
        </w:tc>
        <w:tc>
          <w:tcPr>
            <w:tcW w:w="2002" w:type="dxa"/>
            <w:tcBorders>
              <w:top w:val="nil"/>
              <w:left w:val="nil"/>
              <w:bottom w:val="nil"/>
              <w:right w:val="nil"/>
            </w:tcBorders>
          </w:tcPr>
          <w:p w14:paraId="378E72C4" w14:textId="77777777" w:rsidR="00D93CC6" w:rsidRDefault="00D93CC6" w:rsidP="001F2FF7">
            <w:pPr>
              <w:ind w:left="-20" w:right="-20"/>
              <w:rPr>
                <w:rFonts w:eastAsia="Times New Roman"/>
              </w:rPr>
            </w:pPr>
            <w:r w:rsidRPr="097552FA">
              <w:rPr>
                <w:rFonts w:eastAsia="Times New Roman"/>
              </w:rPr>
              <w:t>Pending</w:t>
            </w:r>
          </w:p>
        </w:tc>
        <w:tc>
          <w:tcPr>
            <w:tcW w:w="2231" w:type="dxa"/>
            <w:tcBorders>
              <w:top w:val="nil"/>
              <w:left w:val="nil"/>
              <w:bottom w:val="nil"/>
              <w:right w:val="nil"/>
            </w:tcBorders>
          </w:tcPr>
          <w:p w14:paraId="6ED58A63" w14:textId="77777777" w:rsidR="00D93CC6" w:rsidRDefault="00D93CC6" w:rsidP="001F2FF7">
            <w:pPr>
              <w:ind w:left="-20" w:right="-20"/>
              <w:rPr>
                <w:rFonts w:eastAsia="Times New Roman"/>
              </w:rPr>
            </w:pPr>
            <w:r w:rsidRPr="097552FA">
              <w:rPr>
                <w:rFonts w:eastAsia="Times New Roman"/>
              </w:rPr>
              <w:t>56165</w:t>
            </w:r>
          </w:p>
        </w:tc>
        <w:tc>
          <w:tcPr>
            <w:tcW w:w="2763" w:type="dxa"/>
            <w:tcBorders>
              <w:top w:val="nil"/>
              <w:left w:val="nil"/>
              <w:bottom w:val="nil"/>
              <w:right w:val="single" w:sz="8" w:space="0" w:color="auto"/>
            </w:tcBorders>
          </w:tcPr>
          <w:p w14:paraId="112AF938" w14:textId="77777777" w:rsidR="00D93CC6" w:rsidRDefault="00D93CC6" w:rsidP="001F2FF7">
            <w:pPr>
              <w:ind w:left="-20" w:right="-20"/>
              <w:jc w:val="center"/>
              <w:rPr>
                <w:rFonts w:eastAsia="Times New Roman"/>
              </w:rPr>
            </w:pPr>
            <w:r w:rsidRPr="097552FA">
              <w:rPr>
                <w:rFonts w:eastAsia="Times New Roman"/>
              </w:rPr>
              <w:t xml:space="preserve"> </w:t>
            </w:r>
          </w:p>
        </w:tc>
      </w:tr>
      <w:tr w:rsidR="00D93CC6" w14:paraId="7887F996" w14:textId="77777777" w:rsidTr="001F2FF7">
        <w:trPr>
          <w:trHeight w:val="300"/>
        </w:trPr>
        <w:tc>
          <w:tcPr>
            <w:tcW w:w="2363" w:type="dxa"/>
            <w:tcBorders>
              <w:top w:val="nil"/>
              <w:left w:val="single" w:sz="8" w:space="0" w:color="auto"/>
              <w:bottom w:val="nil"/>
              <w:right w:val="nil"/>
            </w:tcBorders>
          </w:tcPr>
          <w:p w14:paraId="10BACFFB" w14:textId="77777777" w:rsidR="00D93CC6" w:rsidRDefault="00D93CC6" w:rsidP="001F2FF7">
            <w:pPr>
              <w:ind w:left="-20" w:right="-20"/>
              <w:rPr>
                <w:rFonts w:eastAsia="Times New Roman"/>
                <w:b/>
                <w:bCs/>
              </w:rPr>
            </w:pPr>
            <w:r w:rsidRPr="097552FA">
              <w:rPr>
                <w:rFonts w:eastAsia="Times New Roman"/>
              </w:rPr>
              <w:t>CenterPoint</w:t>
            </w:r>
            <w:r w:rsidRPr="097552FA">
              <w:rPr>
                <w:rFonts w:eastAsia="Times New Roman"/>
                <w:b/>
                <w:bCs/>
              </w:rPr>
              <w:t xml:space="preserve"> </w:t>
            </w:r>
          </w:p>
        </w:tc>
        <w:tc>
          <w:tcPr>
            <w:tcW w:w="2002" w:type="dxa"/>
            <w:tcBorders>
              <w:top w:val="nil"/>
              <w:left w:val="nil"/>
              <w:bottom w:val="nil"/>
              <w:right w:val="nil"/>
            </w:tcBorders>
          </w:tcPr>
          <w:p w14:paraId="69C9792B" w14:textId="77777777" w:rsidR="00D93CC6" w:rsidRDefault="00D93CC6" w:rsidP="001F2FF7">
            <w:pPr>
              <w:ind w:left="-20" w:right="-20"/>
              <w:rPr>
                <w:rFonts w:eastAsia="Times New Roman"/>
              </w:rPr>
            </w:pPr>
            <w:r w:rsidRPr="097552FA">
              <w:rPr>
                <w:rFonts w:eastAsia="Times New Roman"/>
              </w:rPr>
              <w:t>2011</w:t>
            </w:r>
          </w:p>
        </w:tc>
        <w:tc>
          <w:tcPr>
            <w:tcW w:w="2231" w:type="dxa"/>
            <w:tcBorders>
              <w:top w:val="nil"/>
              <w:left w:val="nil"/>
              <w:bottom w:val="nil"/>
              <w:right w:val="nil"/>
            </w:tcBorders>
          </w:tcPr>
          <w:p w14:paraId="713A4E2B" w14:textId="77777777" w:rsidR="00D93CC6" w:rsidRDefault="00D93CC6" w:rsidP="001F2FF7">
            <w:pPr>
              <w:ind w:left="-20" w:right="-20"/>
              <w:rPr>
                <w:rFonts w:eastAsia="Times New Roman"/>
              </w:rPr>
            </w:pPr>
            <w:r w:rsidRPr="097552FA">
              <w:rPr>
                <w:rFonts w:eastAsia="Times New Roman"/>
              </w:rPr>
              <w:t>38339</w:t>
            </w:r>
          </w:p>
        </w:tc>
        <w:tc>
          <w:tcPr>
            <w:tcW w:w="2763" w:type="dxa"/>
            <w:tcBorders>
              <w:top w:val="nil"/>
              <w:left w:val="nil"/>
              <w:bottom w:val="nil"/>
              <w:right w:val="single" w:sz="8" w:space="0" w:color="auto"/>
            </w:tcBorders>
          </w:tcPr>
          <w:p w14:paraId="64D5C8DF" w14:textId="77777777" w:rsidR="00D93CC6" w:rsidRDefault="00D93CC6" w:rsidP="001F2FF7">
            <w:pPr>
              <w:ind w:left="-20" w:right="-20"/>
              <w:jc w:val="center"/>
              <w:rPr>
                <w:rFonts w:eastAsia="Times New Roman"/>
              </w:rPr>
            </w:pPr>
            <w:r w:rsidRPr="097552FA">
              <w:rPr>
                <w:rFonts w:eastAsia="Times New Roman"/>
              </w:rPr>
              <w:t>45%</w:t>
            </w:r>
          </w:p>
        </w:tc>
      </w:tr>
      <w:tr w:rsidR="00D93CC6" w14:paraId="2F36C0EC" w14:textId="77777777" w:rsidTr="001F2FF7">
        <w:trPr>
          <w:trHeight w:val="300"/>
        </w:trPr>
        <w:tc>
          <w:tcPr>
            <w:tcW w:w="2363" w:type="dxa"/>
            <w:tcBorders>
              <w:top w:val="nil"/>
              <w:left w:val="single" w:sz="8" w:space="0" w:color="auto"/>
              <w:bottom w:val="nil"/>
              <w:right w:val="nil"/>
            </w:tcBorders>
          </w:tcPr>
          <w:p w14:paraId="137EE2E3" w14:textId="77777777" w:rsidR="00D93CC6" w:rsidRDefault="00D93CC6" w:rsidP="001F2FF7">
            <w:pPr>
              <w:ind w:left="-20" w:right="-20"/>
              <w:rPr>
                <w:rFonts w:eastAsia="Times New Roman"/>
              </w:rPr>
            </w:pPr>
            <w:r w:rsidRPr="097552FA">
              <w:rPr>
                <w:rFonts w:eastAsia="Times New Roman"/>
              </w:rPr>
              <w:t>CenterPoint</w:t>
            </w:r>
          </w:p>
        </w:tc>
        <w:tc>
          <w:tcPr>
            <w:tcW w:w="2002" w:type="dxa"/>
            <w:tcBorders>
              <w:top w:val="nil"/>
              <w:left w:val="nil"/>
              <w:bottom w:val="nil"/>
              <w:right w:val="nil"/>
            </w:tcBorders>
          </w:tcPr>
          <w:p w14:paraId="05D2C774" w14:textId="77777777" w:rsidR="00D93CC6" w:rsidRDefault="00D93CC6" w:rsidP="001F2FF7">
            <w:pPr>
              <w:ind w:left="-20" w:right="-20"/>
              <w:rPr>
                <w:rFonts w:eastAsia="Times New Roman"/>
              </w:rPr>
            </w:pPr>
            <w:r w:rsidRPr="097552FA">
              <w:rPr>
                <w:rFonts w:eastAsia="Times New Roman"/>
              </w:rPr>
              <w:t>2020</w:t>
            </w:r>
          </w:p>
        </w:tc>
        <w:tc>
          <w:tcPr>
            <w:tcW w:w="2231" w:type="dxa"/>
            <w:tcBorders>
              <w:top w:val="nil"/>
              <w:left w:val="nil"/>
              <w:bottom w:val="nil"/>
              <w:right w:val="nil"/>
            </w:tcBorders>
          </w:tcPr>
          <w:p w14:paraId="023A6E55" w14:textId="77777777" w:rsidR="00D93CC6" w:rsidRDefault="00D93CC6" w:rsidP="001F2FF7">
            <w:pPr>
              <w:ind w:left="-20" w:right="-20"/>
              <w:rPr>
                <w:rFonts w:eastAsia="Times New Roman"/>
              </w:rPr>
            </w:pPr>
            <w:r w:rsidRPr="097552FA">
              <w:rPr>
                <w:rFonts w:eastAsia="Times New Roman"/>
              </w:rPr>
              <w:t>49421</w:t>
            </w:r>
          </w:p>
        </w:tc>
        <w:tc>
          <w:tcPr>
            <w:tcW w:w="2763" w:type="dxa"/>
            <w:tcBorders>
              <w:top w:val="nil"/>
              <w:left w:val="nil"/>
              <w:bottom w:val="nil"/>
              <w:right w:val="single" w:sz="8" w:space="0" w:color="auto"/>
            </w:tcBorders>
          </w:tcPr>
          <w:p w14:paraId="16A76768" w14:textId="77777777" w:rsidR="00D93CC6" w:rsidRDefault="00D93CC6" w:rsidP="001F2FF7">
            <w:pPr>
              <w:ind w:left="-20" w:right="-20"/>
              <w:jc w:val="center"/>
              <w:rPr>
                <w:rFonts w:eastAsia="Times New Roman"/>
              </w:rPr>
            </w:pPr>
            <w:r w:rsidRPr="097552FA">
              <w:rPr>
                <w:rFonts w:eastAsia="Times New Roman"/>
              </w:rPr>
              <w:t>42.5%</w:t>
            </w:r>
          </w:p>
        </w:tc>
      </w:tr>
      <w:tr w:rsidR="00D93CC6" w14:paraId="44A1BF94" w14:textId="77777777" w:rsidTr="001F2FF7">
        <w:trPr>
          <w:trHeight w:val="300"/>
        </w:trPr>
        <w:tc>
          <w:tcPr>
            <w:tcW w:w="2363" w:type="dxa"/>
            <w:tcBorders>
              <w:top w:val="nil"/>
              <w:left w:val="single" w:sz="8" w:space="0" w:color="auto"/>
              <w:bottom w:val="nil"/>
              <w:right w:val="nil"/>
            </w:tcBorders>
          </w:tcPr>
          <w:p w14:paraId="6293FACB" w14:textId="77777777" w:rsidR="00D93CC6" w:rsidRDefault="00D93CC6" w:rsidP="001F2FF7">
            <w:pPr>
              <w:ind w:left="-20" w:right="-20"/>
              <w:rPr>
                <w:rFonts w:eastAsia="Times New Roman"/>
              </w:rPr>
            </w:pPr>
            <w:r w:rsidRPr="097552FA">
              <w:rPr>
                <w:rFonts w:eastAsia="Times New Roman"/>
              </w:rPr>
              <w:t>CenterPoint</w:t>
            </w:r>
          </w:p>
        </w:tc>
        <w:tc>
          <w:tcPr>
            <w:tcW w:w="2002" w:type="dxa"/>
            <w:tcBorders>
              <w:top w:val="nil"/>
              <w:left w:val="nil"/>
              <w:bottom w:val="nil"/>
              <w:right w:val="nil"/>
            </w:tcBorders>
          </w:tcPr>
          <w:p w14:paraId="62092E83" w14:textId="77777777" w:rsidR="00D93CC6" w:rsidRDefault="00D93CC6" w:rsidP="001F2FF7">
            <w:pPr>
              <w:ind w:left="-20" w:right="-20"/>
              <w:rPr>
                <w:rFonts w:eastAsia="Times New Roman"/>
              </w:rPr>
            </w:pPr>
            <w:r w:rsidRPr="097552FA">
              <w:rPr>
                <w:rFonts w:eastAsia="Times New Roman"/>
              </w:rPr>
              <w:t>Pending</w:t>
            </w:r>
          </w:p>
        </w:tc>
        <w:tc>
          <w:tcPr>
            <w:tcW w:w="2231" w:type="dxa"/>
            <w:tcBorders>
              <w:top w:val="nil"/>
              <w:left w:val="nil"/>
              <w:bottom w:val="nil"/>
              <w:right w:val="nil"/>
            </w:tcBorders>
          </w:tcPr>
          <w:p w14:paraId="154A3F98" w14:textId="77777777" w:rsidR="00D93CC6" w:rsidRDefault="00D93CC6" w:rsidP="001F2FF7">
            <w:pPr>
              <w:ind w:left="-20" w:right="-20"/>
              <w:rPr>
                <w:rFonts w:eastAsia="Times New Roman"/>
              </w:rPr>
            </w:pPr>
            <w:r w:rsidRPr="097552FA">
              <w:rPr>
                <w:rFonts w:eastAsia="Times New Roman"/>
              </w:rPr>
              <w:t>56211</w:t>
            </w:r>
          </w:p>
        </w:tc>
        <w:tc>
          <w:tcPr>
            <w:tcW w:w="2763" w:type="dxa"/>
            <w:tcBorders>
              <w:top w:val="nil"/>
              <w:left w:val="nil"/>
              <w:bottom w:val="nil"/>
              <w:right w:val="single" w:sz="8" w:space="0" w:color="auto"/>
            </w:tcBorders>
          </w:tcPr>
          <w:p w14:paraId="5C766230" w14:textId="77777777" w:rsidR="00D93CC6" w:rsidRDefault="00D93CC6" w:rsidP="001F2FF7">
            <w:pPr>
              <w:ind w:left="-20" w:right="-20"/>
              <w:jc w:val="center"/>
              <w:rPr>
                <w:rFonts w:eastAsia="Times New Roman"/>
              </w:rPr>
            </w:pPr>
            <w:r w:rsidRPr="097552FA">
              <w:rPr>
                <w:rFonts w:eastAsia="Times New Roman"/>
              </w:rPr>
              <w:t xml:space="preserve"> </w:t>
            </w:r>
          </w:p>
        </w:tc>
      </w:tr>
      <w:tr w:rsidR="00D93CC6" w14:paraId="3DDCB7C4" w14:textId="77777777" w:rsidTr="001F2FF7">
        <w:trPr>
          <w:trHeight w:val="300"/>
        </w:trPr>
        <w:tc>
          <w:tcPr>
            <w:tcW w:w="2363" w:type="dxa"/>
            <w:tcBorders>
              <w:top w:val="nil"/>
              <w:left w:val="single" w:sz="8" w:space="0" w:color="auto"/>
              <w:bottom w:val="nil"/>
              <w:right w:val="nil"/>
            </w:tcBorders>
          </w:tcPr>
          <w:p w14:paraId="0C3F5913" w14:textId="77777777" w:rsidR="00D93CC6" w:rsidRDefault="00D93CC6" w:rsidP="001F2FF7">
            <w:pPr>
              <w:ind w:left="-20" w:right="-20"/>
              <w:rPr>
                <w:rFonts w:eastAsia="Times New Roman"/>
              </w:rPr>
            </w:pPr>
            <w:r w:rsidRPr="097552FA">
              <w:rPr>
                <w:rFonts w:eastAsia="Times New Roman"/>
              </w:rPr>
              <w:t>Oncor</w:t>
            </w:r>
          </w:p>
        </w:tc>
        <w:tc>
          <w:tcPr>
            <w:tcW w:w="2002" w:type="dxa"/>
            <w:tcBorders>
              <w:top w:val="nil"/>
              <w:left w:val="nil"/>
              <w:bottom w:val="nil"/>
              <w:right w:val="nil"/>
            </w:tcBorders>
          </w:tcPr>
          <w:p w14:paraId="7548EC3D" w14:textId="77777777" w:rsidR="00D93CC6" w:rsidRDefault="00D93CC6" w:rsidP="001F2FF7">
            <w:pPr>
              <w:ind w:left="-20" w:right="-20"/>
              <w:rPr>
                <w:rFonts w:eastAsia="Times New Roman"/>
              </w:rPr>
            </w:pPr>
            <w:r w:rsidRPr="097552FA">
              <w:rPr>
                <w:rFonts w:eastAsia="Times New Roman"/>
              </w:rPr>
              <w:t>2009</w:t>
            </w:r>
          </w:p>
        </w:tc>
        <w:tc>
          <w:tcPr>
            <w:tcW w:w="2231" w:type="dxa"/>
            <w:tcBorders>
              <w:top w:val="nil"/>
              <w:left w:val="nil"/>
              <w:bottom w:val="nil"/>
              <w:right w:val="nil"/>
            </w:tcBorders>
          </w:tcPr>
          <w:p w14:paraId="099BE529" w14:textId="77777777" w:rsidR="00D93CC6" w:rsidRDefault="00D93CC6" w:rsidP="001F2FF7">
            <w:pPr>
              <w:ind w:left="-20" w:right="-20"/>
              <w:rPr>
                <w:rFonts w:eastAsia="Times New Roman"/>
              </w:rPr>
            </w:pPr>
            <w:r w:rsidRPr="097552FA">
              <w:rPr>
                <w:rFonts w:eastAsia="Times New Roman"/>
              </w:rPr>
              <w:t>35717</w:t>
            </w:r>
          </w:p>
        </w:tc>
        <w:tc>
          <w:tcPr>
            <w:tcW w:w="2763" w:type="dxa"/>
            <w:tcBorders>
              <w:top w:val="nil"/>
              <w:left w:val="nil"/>
              <w:bottom w:val="nil"/>
              <w:right w:val="single" w:sz="8" w:space="0" w:color="auto"/>
            </w:tcBorders>
          </w:tcPr>
          <w:p w14:paraId="3CB31941" w14:textId="77777777" w:rsidR="00D93CC6" w:rsidRDefault="00D93CC6" w:rsidP="001F2FF7">
            <w:pPr>
              <w:ind w:left="-20" w:right="-20"/>
              <w:jc w:val="center"/>
              <w:rPr>
                <w:rFonts w:eastAsia="Times New Roman"/>
              </w:rPr>
            </w:pPr>
            <w:r w:rsidRPr="097552FA">
              <w:rPr>
                <w:rFonts w:eastAsia="Times New Roman"/>
              </w:rPr>
              <w:t>40%</w:t>
            </w:r>
          </w:p>
        </w:tc>
      </w:tr>
      <w:tr w:rsidR="00D93CC6" w14:paraId="1076436C" w14:textId="77777777" w:rsidTr="001F2FF7">
        <w:trPr>
          <w:trHeight w:val="300"/>
        </w:trPr>
        <w:tc>
          <w:tcPr>
            <w:tcW w:w="2363" w:type="dxa"/>
            <w:tcBorders>
              <w:top w:val="nil"/>
              <w:left w:val="single" w:sz="8" w:space="0" w:color="auto"/>
              <w:bottom w:val="nil"/>
              <w:right w:val="nil"/>
            </w:tcBorders>
          </w:tcPr>
          <w:p w14:paraId="5782BC48" w14:textId="77777777" w:rsidR="00D93CC6" w:rsidRDefault="00D93CC6" w:rsidP="001F2FF7">
            <w:pPr>
              <w:ind w:left="-20" w:right="-20"/>
              <w:rPr>
                <w:rFonts w:eastAsia="Times New Roman"/>
              </w:rPr>
            </w:pPr>
            <w:r w:rsidRPr="097552FA">
              <w:rPr>
                <w:rFonts w:eastAsia="Times New Roman"/>
              </w:rPr>
              <w:t>Oncor</w:t>
            </w:r>
          </w:p>
        </w:tc>
        <w:tc>
          <w:tcPr>
            <w:tcW w:w="2002" w:type="dxa"/>
            <w:tcBorders>
              <w:top w:val="nil"/>
              <w:left w:val="nil"/>
              <w:bottom w:val="nil"/>
              <w:right w:val="nil"/>
            </w:tcBorders>
          </w:tcPr>
          <w:p w14:paraId="4D7E0D71" w14:textId="77777777" w:rsidR="00D93CC6" w:rsidRDefault="00D93CC6" w:rsidP="001F2FF7">
            <w:pPr>
              <w:ind w:left="-20" w:right="-20"/>
              <w:rPr>
                <w:rFonts w:eastAsia="Times New Roman"/>
              </w:rPr>
            </w:pPr>
            <w:r w:rsidRPr="097552FA">
              <w:rPr>
                <w:rFonts w:eastAsia="Times New Roman"/>
              </w:rPr>
              <w:t>2011</w:t>
            </w:r>
          </w:p>
        </w:tc>
        <w:tc>
          <w:tcPr>
            <w:tcW w:w="2231" w:type="dxa"/>
            <w:tcBorders>
              <w:top w:val="nil"/>
              <w:left w:val="nil"/>
              <w:bottom w:val="nil"/>
              <w:right w:val="nil"/>
            </w:tcBorders>
          </w:tcPr>
          <w:p w14:paraId="77D6887B" w14:textId="77777777" w:rsidR="00D93CC6" w:rsidRDefault="00D93CC6" w:rsidP="001F2FF7">
            <w:pPr>
              <w:ind w:left="-20" w:right="-20"/>
              <w:rPr>
                <w:rFonts w:eastAsia="Times New Roman"/>
              </w:rPr>
            </w:pPr>
            <w:r w:rsidRPr="097552FA">
              <w:rPr>
                <w:rFonts w:eastAsia="Times New Roman"/>
              </w:rPr>
              <w:t>38929</w:t>
            </w:r>
          </w:p>
        </w:tc>
        <w:tc>
          <w:tcPr>
            <w:tcW w:w="2763" w:type="dxa"/>
            <w:tcBorders>
              <w:top w:val="nil"/>
              <w:left w:val="nil"/>
              <w:bottom w:val="nil"/>
              <w:right w:val="single" w:sz="8" w:space="0" w:color="auto"/>
            </w:tcBorders>
          </w:tcPr>
          <w:p w14:paraId="7C3ECE1E" w14:textId="77777777" w:rsidR="00D93CC6" w:rsidRDefault="00D93CC6" w:rsidP="001F2FF7">
            <w:pPr>
              <w:ind w:left="-20" w:right="-20"/>
              <w:jc w:val="center"/>
              <w:rPr>
                <w:rFonts w:eastAsia="Times New Roman"/>
              </w:rPr>
            </w:pPr>
            <w:r>
              <w:rPr>
                <w:rFonts w:eastAsia="Times New Roman"/>
              </w:rPr>
              <w:t>40%</w:t>
            </w:r>
          </w:p>
        </w:tc>
      </w:tr>
      <w:tr w:rsidR="00D93CC6" w14:paraId="3B71DF65" w14:textId="77777777" w:rsidTr="001F2FF7">
        <w:trPr>
          <w:trHeight w:val="300"/>
        </w:trPr>
        <w:tc>
          <w:tcPr>
            <w:tcW w:w="2363" w:type="dxa"/>
            <w:tcBorders>
              <w:top w:val="nil"/>
              <w:left w:val="single" w:sz="8" w:space="0" w:color="auto"/>
              <w:bottom w:val="nil"/>
              <w:right w:val="nil"/>
            </w:tcBorders>
          </w:tcPr>
          <w:p w14:paraId="240536B7" w14:textId="77777777" w:rsidR="00D93CC6" w:rsidRDefault="00D93CC6" w:rsidP="001F2FF7">
            <w:pPr>
              <w:ind w:left="-20" w:right="-20"/>
              <w:rPr>
                <w:rFonts w:eastAsia="Times New Roman"/>
              </w:rPr>
            </w:pPr>
            <w:r w:rsidRPr="097552FA">
              <w:rPr>
                <w:rFonts w:eastAsia="Times New Roman"/>
              </w:rPr>
              <w:t>Oncor</w:t>
            </w:r>
          </w:p>
        </w:tc>
        <w:tc>
          <w:tcPr>
            <w:tcW w:w="2002" w:type="dxa"/>
            <w:tcBorders>
              <w:top w:val="nil"/>
              <w:left w:val="nil"/>
              <w:bottom w:val="nil"/>
              <w:right w:val="nil"/>
            </w:tcBorders>
          </w:tcPr>
          <w:p w14:paraId="7710D1F6" w14:textId="77777777" w:rsidR="00D93CC6" w:rsidRDefault="00D93CC6" w:rsidP="001F2FF7">
            <w:pPr>
              <w:ind w:left="-20" w:right="-20"/>
              <w:rPr>
                <w:rFonts w:eastAsia="Times New Roman"/>
              </w:rPr>
            </w:pPr>
            <w:r w:rsidRPr="097552FA">
              <w:rPr>
                <w:rFonts w:eastAsia="Times New Roman"/>
              </w:rPr>
              <w:t>2017</w:t>
            </w:r>
          </w:p>
        </w:tc>
        <w:tc>
          <w:tcPr>
            <w:tcW w:w="2231" w:type="dxa"/>
            <w:tcBorders>
              <w:top w:val="nil"/>
              <w:left w:val="nil"/>
              <w:bottom w:val="nil"/>
              <w:right w:val="nil"/>
            </w:tcBorders>
          </w:tcPr>
          <w:p w14:paraId="5B53AF25" w14:textId="77777777" w:rsidR="00D93CC6" w:rsidRDefault="00D93CC6" w:rsidP="001F2FF7">
            <w:pPr>
              <w:ind w:left="-20" w:right="-20"/>
              <w:rPr>
                <w:rFonts w:eastAsia="Times New Roman"/>
              </w:rPr>
            </w:pPr>
            <w:r w:rsidRPr="097552FA">
              <w:rPr>
                <w:rFonts w:eastAsia="Times New Roman"/>
              </w:rPr>
              <w:t>46957</w:t>
            </w:r>
          </w:p>
        </w:tc>
        <w:tc>
          <w:tcPr>
            <w:tcW w:w="2763" w:type="dxa"/>
            <w:tcBorders>
              <w:top w:val="nil"/>
              <w:left w:val="nil"/>
              <w:bottom w:val="nil"/>
              <w:right w:val="single" w:sz="8" w:space="0" w:color="auto"/>
            </w:tcBorders>
          </w:tcPr>
          <w:p w14:paraId="3473041F" w14:textId="77777777" w:rsidR="00D93CC6" w:rsidRDefault="00D93CC6" w:rsidP="001F2FF7">
            <w:pPr>
              <w:ind w:left="-20" w:right="-20"/>
              <w:jc w:val="center"/>
              <w:rPr>
                <w:rFonts w:eastAsia="Times New Roman"/>
              </w:rPr>
            </w:pPr>
            <w:r w:rsidRPr="097552FA">
              <w:rPr>
                <w:rFonts w:eastAsia="Times New Roman"/>
              </w:rPr>
              <w:t>42.5%</w:t>
            </w:r>
          </w:p>
        </w:tc>
      </w:tr>
      <w:tr w:rsidR="00D93CC6" w14:paraId="08FE5FAF" w14:textId="77777777" w:rsidTr="001F2FF7">
        <w:trPr>
          <w:trHeight w:val="300"/>
        </w:trPr>
        <w:tc>
          <w:tcPr>
            <w:tcW w:w="2363" w:type="dxa"/>
            <w:tcBorders>
              <w:top w:val="nil"/>
              <w:left w:val="single" w:sz="8" w:space="0" w:color="auto"/>
              <w:bottom w:val="nil"/>
              <w:right w:val="nil"/>
            </w:tcBorders>
          </w:tcPr>
          <w:p w14:paraId="1A940022" w14:textId="77777777" w:rsidR="00D93CC6" w:rsidRDefault="00D93CC6" w:rsidP="001F2FF7">
            <w:pPr>
              <w:ind w:left="-20" w:right="-20"/>
              <w:rPr>
                <w:rFonts w:eastAsia="Times New Roman"/>
              </w:rPr>
            </w:pPr>
            <w:r w:rsidRPr="097552FA">
              <w:rPr>
                <w:rFonts w:eastAsia="Times New Roman"/>
              </w:rPr>
              <w:t>Oncor</w:t>
            </w:r>
          </w:p>
        </w:tc>
        <w:tc>
          <w:tcPr>
            <w:tcW w:w="2002" w:type="dxa"/>
            <w:tcBorders>
              <w:top w:val="nil"/>
              <w:left w:val="nil"/>
              <w:bottom w:val="nil"/>
              <w:right w:val="nil"/>
            </w:tcBorders>
          </w:tcPr>
          <w:p w14:paraId="3AD5D50B" w14:textId="77777777" w:rsidR="00D93CC6" w:rsidRDefault="00D93CC6" w:rsidP="001F2FF7">
            <w:pPr>
              <w:ind w:left="-20" w:right="-20"/>
              <w:rPr>
                <w:rFonts w:eastAsia="Times New Roman"/>
              </w:rPr>
            </w:pPr>
            <w:r w:rsidRPr="097552FA">
              <w:rPr>
                <w:rFonts w:eastAsia="Times New Roman"/>
              </w:rPr>
              <w:t>2023</w:t>
            </w:r>
          </w:p>
        </w:tc>
        <w:tc>
          <w:tcPr>
            <w:tcW w:w="2231" w:type="dxa"/>
            <w:tcBorders>
              <w:top w:val="nil"/>
              <w:left w:val="nil"/>
              <w:bottom w:val="nil"/>
              <w:right w:val="nil"/>
            </w:tcBorders>
          </w:tcPr>
          <w:p w14:paraId="385AE5C8" w14:textId="77777777" w:rsidR="00D93CC6" w:rsidRDefault="00D93CC6" w:rsidP="001F2FF7">
            <w:pPr>
              <w:ind w:left="-20" w:right="-20"/>
              <w:rPr>
                <w:rFonts w:eastAsia="Times New Roman"/>
              </w:rPr>
            </w:pPr>
            <w:r w:rsidRPr="097552FA">
              <w:rPr>
                <w:rFonts w:eastAsia="Times New Roman"/>
              </w:rPr>
              <w:t>53601</w:t>
            </w:r>
          </w:p>
        </w:tc>
        <w:tc>
          <w:tcPr>
            <w:tcW w:w="2763" w:type="dxa"/>
            <w:tcBorders>
              <w:top w:val="nil"/>
              <w:left w:val="nil"/>
              <w:bottom w:val="nil"/>
              <w:right w:val="single" w:sz="8" w:space="0" w:color="auto"/>
            </w:tcBorders>
          </w:tcPr>
          <w:p w14:paraId="122DFAE2" w14:textId="77777777" w:rsidR="00D93CC6" w:rsidRDefault="00D93CC6" w:rsidP="001F2FF7">
            <w:pPr>
              <w:ind w:left="-20" w:right="-20"/>
              <w:jc w:val="center"/>
              <w:rPr>
                <w:rFonts w:eastAsia="Times New Roman"/>
              </w:rPr>
            </w:pPr>
            <w:r w:rsidRPr="097552FA">
              <w:rPr>
                <w:rFonts w:eastAsia="Times New Roman"/>
              </w:rPr>
              <w:t>42.5%</w:t>
            </w:r>
          </w:p>
        </w:tc>
      </w:tr>
      <w:tr w:rsidR="00D93CC6" w14:paraId="0FD13DE3" w14:textId="77777777" w:rsidTr="001F2FF7">
        <w:trPr>
          <w:trHeight w:val="300"/>
        </w:trPr>
        <w:tc>
          <w:tcPr>
            <w:tcW w:w="2363" w:type="dxa"/>
            <w:tcBorders>
              <w:top w:val="nil"/>
              <w:left w:val="single" w:sz="8" w:space="0" w:color="auto"/>
              <w:bottom w:val="nil"/>
              <w:right w:val="nil"/>
            </w:tcBorders>
          </w:tcPr>
          <w:p w14:paraId="21A97D2A" w14:textId="77777777" w:rsidR="00D93CC6" w:rsidRDefault="00D93CC6" w:rsidP="001F2FF7">
            <w:pPr>
              <w:ind w:left="-20" w:right="-20"/>
              <w:rPr>
                <w:rFonts w:eastAsia="Times New Roman"/>
              </w:rPr>
            </w:pPr>
            <w:r w:rsidRPr="097552FA">
              <w:rPr>
                <w:rFonts w:eastAsia="Times New Roman"/>
              </w:rPr>
              <w:t>TNMP</w:t>
            </w:r>
          </w:p>
        </w:tc>
        <w:tc>
          <w:tcPr>
            <w:tcW w:w="2002" w:type="dxa"/>
            <w:tcBorders>
              <w:top w:val="nil"/>
              <w:left w:val="nil"/>
              <w:bottom w:val="nil"/>
              <w:right w:val="nil"/>
            </w:tcBorders>
          </w:tcPr>
          <w:p w14:paraId="7E337DC2" w14:textId="77777777" w:rsidR="00D93CC6" w:rsidRDefault="00D93CC6" w:rsidP="001F2FF7">
            <w:pPr>
              <w:ind w:left="-20" w:right="-20"/>
              <w:rPr>
                <w:rFonts w:eastAsia="Times New Roman"/>
              </w:rPr>
            </w:pPr>
            <w:r w:rsidRPr="097552FA">
              <w:rPr>
                <w:rFonts w:eastAsia="Times New Roman"/>
              </w:rPr>
              <w:t>2009</w:t>
            </w:r>
          </w:p>
        </w:tc>
        <w:tc>
          <w:tcPr>
            <w:tcW w:w="2231" w:type="dxa"/>
            <w:tcBorders>
              <w:top w:val="nil"/>
              <w:left w:val="nil"/>
              <w:bottom w:val="nil"/>
              <w:right w:val="nil"/>
            </w:tcBorders>
          </w:tcPr>
          <w:p w14:paraId="186C82F3" w14:textId="77777777" w:rsidR="00D93CC6" w:rsidRDefault="00D93CC6" w:rsidP="001F2FF7">
            <w:pPr>
              <w:ind w:left="-20" w:right="-20"/>
              <w:rPr>
                <w:rFonts w:eastAsia="Times New Roman"/>
              </w:rPr>
            </w:pPr>
            <w:r w:rsidRPr="097552FA">
              <w:rPr>
                <w:rFonts w:eastAsia="Times New Roman"/>
              </w:rPr>
              <w:t>36025</w:t>
            </w:r>
          </w:p>
        </w:tc>
        <w:tc>
          <w:tcPr>
            <w:tcW w:w="2763" w:type="dxa"/>
            <w:tcBorders>
              <w:top w:val="nil"/>
              <w:left w:val="nil"/>
              <w:bottom w:val="nil"/>
              <w:right w:val="single" w:sz="8" w:space="0" w:color="auto"/>
            </w:tcBorders>
          </w:tcPr>
          <w:p w14:paraId="15E86757" w14:textId="77777777" w:rsidR="00D93CC6" w:rsidRDefault="00D93CC6" w:rsidP="001F2FF7">
            <w:pPr>
              <w:ind w:left="-20" w:right="-20"/>
              <w:jc w:val="center"/>
              <w:rPr>
                <w:rFonts w:eastAsia="Times New Roman"/>
              </w:rPr>
            </w:pPr>
            <w:r w:rsidRPr="097552FA">
              <w:rPr>
                <w:rFonts w:eastAsia="Times New Roman"/>
              </w:rPr>
              <w:t>40%</w:t>
            </w:r>
          </w:p>
        </w:tc>
      </w:tr>
      <w:tr w:rsidR="00D93CC6" w14:paraId="7AF18A38" w14:textId="77777777" w:rsidTr="001F2FF7">
        <w:trPr>
          <w:trHeight w:val="300"/>
        </w:trPr>
        <w:tc>
          <w:tcPr>
            <w:tcW w:w="2363" w:type="dxa"/>
            <w:tcBorders>
              <w:top w:val="nil"/>
              <w:left w:val="single" w:sz="8" w:space="0" w:color="auto"/>
              <w:bottom w:val="nil"/>
              <w:right w:val="nil"/>
            </w:tcBorders>
          </w:tcPr>
          <w:p w14:paraId="693FF9AA" w14:textId="77777777" w:rsidR="00D93CC6" w:rsidRDefault="00D93CC6" w:rsidP="001F2FF7">
            <w:pPr>
              <w:ind w:left="-20" w:right="-20"/>
              <w:rPr>
                <w:rFonts w:eastAsia="Times New Roman"/>
              </w:rPr>
            </w:pPr>
            <w:r w:rsidRPr="097552FA">
              <w:rPr>
                <w:rFonts w:eastAsia="Times New Roman"/>
              </w:rPr>
              <w:t>TNMP</w:t>
            </w:r>
          </w:p>
        </w:tc>
        <w:tc>
          <w:tcPr>
            <w:tcW w:w="2002" w:type="dxa"/>
            <w:tcBorders>
              <w:top w:val="nil"/>
              <w:left w:val="nil"/>
              <w:bottom w:val="nil"/>
              <w:right w:val="nil"/>
            </w:tcBorders>
          </w:tcPr>
          <w:p w14:paraId="5659E48B" w14:textId="77777777" w:rsidR="00D93CC6" w:rsidRDefault="00D93CC6" w:rsidP="001F2FF7">
            <w:pPr>
              <w:ind w:left="-20" w:right="-20"/>
              <w:rPr>
                <w:rFonts w:eastAsia="Times New Roman"/>
              </w:rPr>
            </w:pPr>
            <w:r w:rsidRPr="097552FA">
              <w:rPr>
                <w:rFonts w:eastAsia="Times New Roman"/>
              </w:rPr>
              <w:t>2011</w:t>
            </w:r>
          </w:p>
        </w:tc>
        <w:tc>
          <w:tcPr>
            <w:tcW w:w="2231" w:type="dxa"/>
            <w:tcBorders>
              <w:top w:val="nil"/>
              <w:left w:val="nil"/>
              <w:bottom w:val="nil"/>
              <w:right w:val="nil"/>
            </w:tcBorders>
          </w:tcPr>
          <w:p w14:paraId="51A19704" w14:textId="77777777" w:rsidR="00D93CC6" w:rsidRDefault="00D93CC6" w:rsidP="001F2FF7">
            <w:pPr>
              <w:ind w:left="-20" w:right="-20"/>
              <w:rPr>
                <w:rFonts w:eastAsia="Times New Roman"/>
              </w:rPr>
            </w:pPr>
            <w:r w:rsidRPr="097552FA">
              <w:rPr>
                <w:rFonts w:eastAsia="Times New Roman"/>
              </w:rPr>
              <w:t>38480</w:t>
            </w:r>
          </w:p>
        </w:tc>
        <w:tc>
          <w:tcPr>
            <w:tcW w:w="2763" w:type="dxa"/>
            <w:tcBorders>
              <w:top w:val="nil"/>
              <w:left w:val="nil"/>
              <w:bottom w:val="nil"/>
              <w:right w:val="single" w:sz="8" w:space="0" w:color="auto"/>
            </w:tcBorders>
          </w:tcPr>
          <w:p w14:paraId="3F2B4B38" w14:textId="77777777" w:rsidR="00D93CC6" w:rsidRDefault="00D93CC6" w:rsidP="001F2FF7">
            <w:pPr>
              <w:ind w:left="-20" w:right="-20"/>
              <w:jc w:val="center"/>
              <w:rPr>
                <w:rFonts w:eastAsia="Times New Roman"/>
              </w:rPr>
            </w:pPr>
            <w:r w:rsidRPr="097552FA">
              <w:rPr>
                <w:rFonts w:eastAsia="Times New Roman"/>
              </w:rPr>
              <w:t>45%</w:t>
            </w:r>
          </w:p>
        </w:tc>
      </w:tr>
      <w:tr w:rsidR="00D93CC6" w14:paraId="415496FB" w14:textId="77777777" w:rsidTr="001F2FF7">
        <w:trPr>
          <w:trHeight w:val="300"/>
        </w:trPr>
        <w:tc>
          <w:tcPr>
            <w:tcW w:w="2363" w:type="dxa"/>
            <w:tcBorders>
              <w:top w:val="nil"/>
              <w:left w:val="single" w:sz="8" w:space="0" w:color="auto"/>
              <w:bottom w:val="single" w:sz="8" w:space="0" w:color="auto"/>
              <w:right w:val="nil"/>
            </w:tcBorders>
          </w:tcPr>
          <w:p w14:paraId="1F506F3F" w14:textId="77777777" w:rsidR="00D93CC6" w:rsidRDefault="00D93CC6" w:rsidP="001F2FF7">
            <w:pPr>
              <w:ind w:left="-20" w:right="-20"/>
              <w:rPr>
                <w:rFonts w:eastAsia="Times New Roman"/>
              </w:rPr>
            </w:pPr>
            <w:r w:rsidRPr="097552FA">
              <w:rPr>
                <w:rFonts w:eastAsia="Times New Roman"/>
              </w:rPr>
              <w:t>TNMP</w:t>
            </w:r>
          </w:p>
        </w:tc>
        <w:tc>
          <w:tcPr>
            <w:tcW w:w="2002" w:type="dxa"/>
            <w:tcBorders>
              <w:top w:val="nil"/>
              <w:left w:val="nil"/>
              <w:bottom w:val="single" w:sz="8" w:space="0" w:color="auto"/>
              <w:right w:val="nil"/>
            </w:tcBorders>
          </w:tcPr>
          <w:p w14:paraId="6BC882C0" w14:textId="77777777" w:rsidR="00D93CC6" w:rsidRDefault="00D93CC6" w:rsidP="001F2FF7">
            <w:pPr>
              <w:ind w:left="-20" w:right="-20"/>
              <w:rPr>
                <w:rFonts w:eastAsia="Times New Roman"/>
              </w:rPr>
            </w:pPr>
            <w:r w:rsidRPr="097552FA">
              <w:rPr>
                <w:rFonts w:eastAsia="Times New Roman"/>
              </w:rPr>
              <w:t>2018</w:t>
            </w:r>
          </w:p>
        </w:tc>
        <w:tc>
          <w:tcPr>
            <w:tcW w:w="2231" w:type="dxa"/>
            <w:tcBorders>
              <w:top w:val="nil"/>
              <w:left w:val="nil"/>
              <w:bottom w:val="single" w:sz="8" w:space="0" w:color="auto"/>
              <w:right w:val="nil"/>
            </w:tcBorders>
          </w:tcPr>
          <w:p w14:paraId="064CE8CE" w14:textId="77777777" w:rsidR="00D93CC6" w:rsidRDefault="00D93CC6" w:rsidP="001F2FF7">
            <w:pPr>
              <w:ind w:left="-20" w:right="-20"/>
              <w:rPr>
                <w:rFonts w:eastAsia="Times New Roman"/>
              </w:rPr>
            </w:pPr>
            <w:r w:rsidRPr="097552FA">
              <w:rPr>
                <w:rFonts w:eastAsia="Times New Roman"/>
              </w:rPr>
              <w:t>48401</w:t>
            </w:r>
          </w:p>
        </w:tc>
        <w:tc>
          <w:tcPr>
            <w:tcW w:w="2763" w:type="dxa"/>
            <w:tcBorders>
              <w:top w:val="nil"/>
              <w:left w:val="nil"/>
              <w:bottom w:val="single" w:sz="8" w:space="0" w:color="auto"/>
              <w:right w:val="single" w:sz="8" w:space="0" w:color="auto"/>
            </w:tcBorders>
          </w:tcPr>
          <w:p w14:paraId="4F8BCD6C" w14:textId="77777777" w:rsidR="00D93CC6" w:rsidRDefault="00D93CC6" w:rsidP="001F2FF7">
            <w:pPr>
              <w:ind w:left="-20" w:right="-20"/>
              <w:jc w:val="center"/>
              <w:rPr>
                <w:rFonts w:eastAsia="Times New Roman"/>
              </w:rPr>
            </w:pPr>
            <w:r w:rsidRPr="097552FA">
              <w:rPr>
                <w:rFonts w:eastAsia="Times New Roman"/>
              </w:rPr>
              <w:t>45%</w:t>
            </w:r>
          </w:p>
        </w:tc>
      </w:tr>
    </w:tbl>
    <w:p w14:paraId="6530E07E" w14:textId="77777777" w:rsidR="00D93CC6" w:rsidRDefault="00D93CC6" w:rsidP="00D93CC6">
      <w:pPr>
        <w:widowControl w:val="0"/>
        <w:spacing w:line="480" w:lineRule="auto"/>
        <w:jc w:val="center"/>
        <w:rPr>
          <w:b/>
          <w:bCs/>
        </w:rPr>
      </w:pPr>
    </w:p>
    <w:p w14:paraId="1F211C4A" w14:textId="77777777" w:rsidR="00D93CC6" w:rsidRPr="00225592" w:rsidRDefault="00D93CC6" w:rsidP="00225592">
      <w:pPr>
        <w:widowControl w:val="0"/>
        <w:jc w:val="center"/>
        <w:rPr>
          <w:b/>
          <w:bCs/>
        </w:rPr>
      </w:pPr>
      <w:r w:rsidRPr="00225592">
        <w:rPr>
          <w:b/>
          <w:bCs/>
        </w:rPr>
        <w:t>Figure JMR-9</w:t>
      </w:r>
    </w:p>
    <w:p w14:paraId="348EEF60" w14:textId="58E8BB92" w:rsidR="00982FDD" w:rsidRPr="00225592" w:rsidRDefault="150A78C1" w:rsidP="00225592">
      <w:pPr>
        <w:spacing w:line="480" w:lineRule="auto"/>
        <w:jc w:val="center"/>
        <w:rPr>
          <w:b/>
          <w:bCs/>
        </w:rPr>
      </w:pPr>
      <w:r w:rsidRPr="00225592">
        <w:rPr>
          <w:b/>
          <w:bCs/>
        </w:rPr>
        <w:t xml:space="preserve">Non-ERCOT </w:t>
      </w:r>
      <w:r w:rsidR="171DE9CE" w:rsidRPr="00225592">
        <w:rPr>
          <w:b/>
          <w:bCs/>
        </w:rPr>
        <w:t>Texas Utility Capital Structures</w:t>
      </w:r>
      <w:r w:rsidR="2C645108" w:rsidRPr="00225592">
        <w:rPr>
          <w:b/>
          <w:bCs/>
        </w:rPr>
        <w:t>, 2009-2023</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362"/>
        <w:gridCol w:w="2002"/>
        <w:gridCol w:w="2232"/>
        <w:gridCol w:w="2764"/>
      </w:tblGrid>
      <w:tr w:rsidR="7C2C6364" w14:paraId="1F808B58" w14:textId="77777777" w:rsidTr="7C2C6364">
        <w:trPr>
          <w:trHeight w:val="300"/>
        </w:trPr>
        <w:tc>
          <w:tcPr>
            <w:tcW w:w="2362" w:type="dxa"/>
            <w:tcBorders>
              <w:top w:val="single" w:sz="8" w:space="0" w:color="auto"/>
              <w:left w:val="single" w:sz="8" w:space="0" w:color="auto"/>
              <w:bottom w:val="single" w:sz="8" w:space="0" w:color="auto"/>
              <w:right w:val="nil"/>
            </w:tcBorders>
          </w:tcPr>
          <w:p w14:paraId="724DDF18" w14:textId="5030A015" w:rsidR="7C2C6364" w:rsidRDefault="003E3EF3" w:rsidP="003626F8">
            <w:pPr>
              <w:ind w:left="-20" w:right="-20"/>
              <w:rPr>
                <w:rFonts w:eastAsia="Times New Roman"/>
                <w:b/>
                <w:bCs/>
              </w:rPr>
            </w:pPr>
            <w:r>
              <w:rPr>
                <w:b/>
              </w:rPr>
              <w:tab/>
            </w:r>
            <w:r w:rsidR="7C2C6364" w:rsidRPr="7C2C6364">
              <w:rPr>
                <w:rFonts w:eastAsia="Times New Roman"/>
                <w:b/>
                <w:bCs/>
              </w:rPr>
              <w:t xml:space="preserve">Utility </w:t>
            </w:r>
          </w:p>
        </w:tc>
        <w:tc>
          <w:tcPr>
            <w:tcW w:w="2002" w:type="dxa"/>
            <w:tcBorders>
              <w:top w:val="single" w:sz="8" w:space="0" w:color="auto"/>
              <w:left w:val="nil"/>
              <w:bottom w:val="single" w:sz="8" w:space="0" w:color="auto"/>
              <w:right w:val="nil"/>
            </w:tcBorders>
          </w:tcPr>
          <w:p w14:paraId="76556F4B" w14:textId="0AB3B734" w:rsidR="7C2C6364" w:rsidRDefault="7C2C6364" w:rsidP="003626F8">
            <w:pPr>
              <w:ind w:left="-20" w:right="-20"/>
              <w:rPr>
                <w:rFonts w:eastAsia="Times New Roman"/>
                <w:b/>
                <w:bCs/>
              </w:rPr>
            </w:pPr>
            <w:r w:rsidRPr="7C2C6364">
              <w:rPr>
                <w:rFonts w:eastAsia="Times New Roman"/>
                <w:b/>
                <w:bCs/>
              </w:rPr>
              <w:t>Year</w:t>
            </w:r>
          </w:p>
        </w:tc>
        <w:tc>
          <w:tcPr>
            <w:tcW w:w="2232" w:type="dxa"/>
            <w:tcBorders>
              <w:top w:val="single" w:sz="8" w:space="0" w:color="auto"/>
              <w:left w:val="nil"/>
              <w:bottom w:val="single" w:sz="8" w:space="0" w:color="auto"/>
              <w:right w:val="nil"/>
            </w:tcBorders>
          </w:tcPr>
          <w:p w14:paraId="06DE76D0" w14:textId="76BD36B5" w:rsidR="7C2C6364" w:rsidRDefault="7C2C6364" w:rsidP="003626F8">
            <w:pPr>
              <w:ind w:left="-20" w:right="-20"/>
              <w:rPr>
                <w:rFonts w:eastAsia="Times New Roman"/>
                <w:b/>
                <w:bCs/>
              </w:rPr>
            </w:pPr>
            <w:r w:rsidRPr="7C2C6364">
              <w:rPr>
                <w:rFonts w:eastAsia="Times New Roman"/>
                <w:b/>
                <w:bCs/>
              </w:rPr>
              <w:t>Docket</w:t>
            </w:r>
          </w:p>
        </w:tc>
        <w:tc>
          <w:tcPr>
            <w:tcW w:w="2764" w:type="dxa"/>
            <w:tcBorders>
              <w:top w:val="single" w:sz="8" w:space="0" w:color="auto"/>
              <w:left w:val="nil"/>
              <w:bottom w:val="single" w:sz="8" w:space="0" w:color="auto"/>
              <w:right w:val="single" w:sz="8" w:space="0" w:color="auto"/>
            </w:tcBorders>
          </w:tcPr>
          <w:p w14:paraId="50B0D945" w14:textId="482ABB6E" w:rsidR="7C2C6364" w:rsidRDefault="7C2C6364" w:rsidP="003626F8">
            <w:pPr>
              <w:ind w:left="-20" w:right="-20"/>
              <w:rPr>
                <w:rFonts w:eastAsia="Times New Roman"/>
                <w:b/>
                <w:bCs/>
              </w:rPr>
            </w:pPr>
            <w:r w:rsidRPr="7C2C6364">
              <w:rPr>
                <w:rFonts w:eastAsia="Times New Roman"/>
                <w:b/>
                <w:bCs/>
              </w:rPr>
              <w:t>Equity Percentage</w:t>
            </w:r>
          </w:p>
        </w:tc>
      </w:tr>
      <w:tr w:rsidR="7C2C6364" w14:paraId="66E7BE96" w14:textId="77777777" w:rsidTr="7C2C6364">
        <w:trPr>
          <w:trHeight w:val="300"/>
        </w:trPr>
        <w:tc>
          <w:tcPr>
            <w:tcW w:w="2362" w:type="dxa"/>
            <w:tcBorders>
              <w:top w:val="single" w:sz="8" w:space="0" w:color="auto"/>
              <w:left w:val="single" w:sz="8" w:space="0" w:color="auto"/>
              <w:bottom w:val="nil"/>
              <w:right w:val="nil"/>
            </w:tcBorders>
          </w:tcPr>
          <w:p w14:paraId="4ABEF1E0" w14:textId="0971AB0B" w:rsidR="7C2C6364" w:rsidRDefault="7C2C6364" w:rsidP="003626F8">
            <w:pPr>
              <w:ind w:left="-20" w:right="-20"/>
              <w:rPr>
                <w:rFonts w:eastAsia="Times New Roman"/>
              </w:rPr>
            </w:pPr>
            <w:r w:rsidRPr="7C2C6364">
              <w:rPr>
                <w:rFonts w:eastAsia="Times New Roman"/>
              </w:rPr>
              <w:t>El Paso</w:t>
            </w:r>
          </w:p>
        </w:tc>
        <w:tc>
          <w:tcPr>
            <w:tcW w:w="2002" w:type="dxa"/>
            <w:tcBorders>
              <w:top w:val="single" w:sz="8" w:space="0" w:color="auto"/>
              <w:left w:val="nil"/>
              <w:bottom w:val="nil"/>
              <w:right w:val="nil"/>
            </w:tcBorders>
          </w:tcPr>
          <w:p w14:paraId="360AC768" w14:textId="3593F4E2" w:rsidR="7C2C6364" w:rsidRDefault="7C2C6364" w:rsidP="003626F8">
            <w:pPr>
              <w:ind w:left="-20" w:right="-20"/>
              <w:rPr>
                <w:rFonts w:eastAsia="Times New Roman"/>
              </w:rPr>
            </w:pPr>
            <w:r w:rsidRPr="7C2C6364">
              <w:rPr>
                <w:rFonts w:eastAsia="Times New Roman"/>
              </w:rPr>
              <w:t>2010</w:t>
            </w:r>
          </w:p>
        </w:tc>
        <w:tc>
          <w:tcPr>
            <w:tcW w:w="2232" w:type="dxa"/>
            <w:tcBorders>
              <w:top w:val="single" w:sz="8" w:space="0" w:color="auto"/>
              <w:left w:val="nil"/>
              <w:bottom w:val="nil"/>
              <w:right w:val="nil"/>
            </w:tcBorders>
          </w:tcPr>
          <w:p w14:paraId="4855FBF0" w14:textId="77D543DD" w:rsidR="7C2C6364" w:rsidRDefault="7C2C6364" w:rsidP="003626F8">
            <w:pPr>
              <w:ind w:left="-20" w:right="-20"/>
              <w:rPr>
                <w:rFonts w:eastAsia="Times New Roman"/>
              </w:rPr>
            </w:pPr>
            <w:r w:rsidRPr="7C2C6364">
              <w:rPr>
                <w:rFonts w:eastAsia="Times New Roman"/>
              </w:rPr>
              <w:t>37690</w:t>
            </w:r>
          </w:p>
        </w:tc>
        <w:tc>
          <w:tcPr>
            <w:tcW w:w="2764" w:type="dxa"/>
            <w:tcBorders>
              <w:top w:val="single" w:sz="8" w:space="0" w:color="auto"/>
              <w:left w:val="nil"/>
              <w:bottom w:val="nil"/>
              <w:right w:val="single" w:sz="8" w:space="0" w:color="auto"/>
            </w:tcBorders>
          </w:tcPr>
          <w:p w14:paraId="25C0A015" w14:textId="6199D181" w:rsidR="7C2C6364" w:rsidRDefault="7C2C6364" w:rsidP="00BC3D50">
            <w:pPr>
              <w:ind w:left="-20" w:right="-20"/>
              <w:jc w:val="center"/>
              <w:rPr>
                <w:rFonts w:eastAsia="Times New Roman"/>
              </w:rPr>
            </w:pPr>
            <w:r w:rsidRPr="7C2C6364">
              <w:rPr>
                <w:rFonts w:eastAsia="Times New Roman"/>
              </w:rPr>
              <w:t>n/a</w:t>
            </w:r>
          </w:p>
        </w:tc>
      </w:tr>
      <w:tr w:rsidR="7C2C6364" w14:paraId="2F8090AE" w14:textId="77777777" w:rsidTr="7C2C6364">
        <w:trPr>
          <w:trHeight w:val="300"/>
        </w:trPr>
        <w:tc>
          <w:tcPr>
            <w:tcW w:w="2362" w:type="dxa"/>
            <w:tcBorders>
              <w:top w:val="nil"/>
              <w:left w:val="single" w:sz="8" w:space="0" w:color="auto"/>
              <w:bottom w:val="nil"/>
              <w:right w:val="nil"/>
            </w:tcBorders>
          </w:tcPr>
          <w:p w14:paraId="66E2DFB6" w14:textId="319E07F5" w:rsidR="7C2C6364" w:rsidRDefault="7C2C6364" w:rsidP="00BC3D50">
            <w:pPr>
              <w:ind w:left="-20" w:right="-20"/>
              <w:rPr>
                <w:rFonts w:eastAsia="Times New Roman"/>
              </w:rPr>
            </w:pPr>
            <w:r w:rsidRPr="7C2C6364">
              <w:rPr>
                <w:rFonts w:eastAsia="Times New Roman"/>
              </w:rPr>
              <w:t>El Paso</w:t>
            </w:r>
          </w:p>
        </w:tc>
        <w:tc>
          <w:tcPr>
            <w:tcW w:w="2002" w:type="dxa"/>
            <w:tcBorders>
              <w:top w:val="nil"/>
              <w:left w:val="nil"/>
              <w:bottom w:val="nil"/>
              <w:right w:val="nil"/>
            </w:tcBorders>
          </w:tcPr>
          <w:p w14:paraId="79379D39" w14:textId="0AEED31E" w:rsidR="7C2C6364" w:rsidRDefault="7C2C6364" w:rsidP="00BC3D50">
            <w:pPr>
              <w:ind w:left="-20" w:right="-20"/>
              <w:rPr>
                <w:rFonts w:eastAsia="Times New Roman"/>
              </w:rPr>
            </w:pPr>
            <w:r w:rsidRPr="7C2C6364">
              <w:rPr>
                <w:rFonts w:eastAsia="Times New Roman"/>
              </w:rPr>
              <w:t>2012</w:t>
            </w:r>
          </w:p>
        </w:tc>
        <w:tc>
          <w:tcPr>
            <w:tcW w:w="2232" w:type="dxa"/>
            <w:tcBorders>
              <w:top w:val="nil"/>
              <w:left w:val="nil"/>
              <w:bottom w:val="nil"/>
              <w:right w:val="nil"/>
            </w:tcBorders>
          </w:tcPr>
          <w:p w14:paraId="7C3BFDB6" w14:textId="5BA41D4E" w:rsidR="7C2C6364" w:rsidRDefault="7C2C6364" w:rsidP="00BC3D50">
            <w:pPr>
              <w:ind w:left="-20" w:right="-20"/>
              <w:rPr>
                <w:rFonts w:eastAsia="Times New Roman"/>
              </w:rPr>
            </w:pPr>
            <w:r w:rsidRPr="7C2C6364">
              <w:rPr>
                <w:rFonts w:eastAsia="Times New Roman"/>
              </w:rPr>
              <w:t>40094</w:t>
            </w:r>
          </w:p>
        </w:tc>
        <w:tc>
          <w:tcPr>
            <w:tcW w:w="2764" w:type="dxa"/>
            <w:tcBorders>
              <w:top w:val="nil"/>
              <w:left w:val="nil"/>
              <w:bottom w:val="nil"/>
              <w:right w:val="single" w:sz="8" w:space="0" w:color="auto"/>
            </w:tcBorders>
          </w:tcPr>
          <w:p w14:paraId="1DDC8A86" w14:textId="3CF6D146" w:rsidR="7C2C6364" w:rsidRDefault="7C2C6364" w:rsidP="003626F8">
            <w:pPr>
              <w:ind w:left="-20" w:right="-20"/>
              <w:jc w:val="center"/>
              <w:rPr>
                <w:rFonts w:eastAsia="Times New Roman"/>
              </w:rPr>
            </w:pPr>
            <w:r w:rsidRPr="7C2C6364">
              <w:rPr>
                <w:rFonts w:eastAsia="Times New Roman"/>
              </w:rPr>
              <w:t>n/a</w:t>
            </w:r>
          </w:p>
        </w:tc>
      </w:tr>
      <w:tr w:rsidR="7C2C6364" w14:paraId="5395B636" w14:textId="77777777" w:rsidTr="7C2C6364">
        <w:trPr>
          <w:trHeight w:val="300"/>
        </w:trPr>
        <w:tc>
          <w:tcPr>
            <w:tcW w:w="2362" w:type="dxa"/>
            <w:tcBorders>
              <w:top w:val="nil"/>
              <w:left w:val="single" w:sz="8" w:space="0" w:color="auto"/>
              <w:bottom w:val="nil"/>
              <w:right w:val="nil"/>
            </w:tcBorders>
          </w:tcPr>
          <w:p w14:paraId="03F31F16" w14:textId="2CF8F996" w:rsidR="7C2C6364" w:rsidRDefault="7C2C6364" w:rsidP="003626F8">
            <w:pPr>
              <w:ind w:left="-20" w:right="-20"/>
              <w:rPr>
                <w:rFonts w:eastAsia="Times New Roman"/>
              </w:rPr>
            </w:pPr>
            <w:r w:rsidRPr="7C2C6364">
              <w:rPr>
                <w:rFonts w:eastAsia="Times New Roman"/>
              </w:rPr>
              <w:t>El Paso</w:t>
            </w:r>
          </w:p>
        </w:tc>
        <w:tc>
          <w:tcPr>
            <w:tcW w:w="2002" w:type="dxa"/>
            <w:tcBorders>
              <w:top w:val="nil"/>
              <w:left w:val="nil"/>
              <w:bottom w:val="nil"/>
              <w:right w:val="nil"/>
            </w:tcBorders>
          </w:tcPr>
          <w:p w14:paraId="394B3B61" w14:textId="19AA9309" w:rsidR="7C2C6364" w:rsidRDefault="7C2C6364" w:rsidP="003626F8">
            <w:pPr>
              <w:ind w:left="-20" w:right="-20"/>
              <w:rPr>
                <w:rFonts w:eastAsia="Times New Roman"/>
              </w:rPr>
            </w:pPr>
            <w:r w:rsidRPr="7C2C6364">
              <w:rPr>
                <w:rFonts w:eastAsia="Times New Roman"/>
              </w:rPr>
              <w:t>2016</w:t>
            </w:r>
          </w:p>
        </w:tc>
        <w:tc>
          <w:tcPr>
            <w:tcW w:w="2232" w:type="dxa"/>
            <w:tcBorders>
              <w:top w:val="nil"/>
              <w:left w:val="nil"/>
              <w:bottom w:val="nil"/>
              <w:right w:val="nil"/>
            </w:tcBorders>
          </w:tcPr>
          <w:p w14:paraId="23074B86" w14:textId="2EF747C3" w:rsidR="7C2C6364" w:rsidRDefault="7C2C6364" w:rsidP="003626F8">
            <w:pPr>
              <w:ind w:left="-20" w:right="-20"/>
              <w:rPr>
                <w:rFonts w:eastAsia="Times New Roman"/>
              </w:rPr>
            </w:pPr>
            <w:r w:rsidRPr="7C2C6364">
              <w:rPr>
                <w:rFonts w:eastAsia="Times New Roman"/>
              </w:rPr>
              <w:t>44941</w:t>
            </w:r>
          </w:p>
        </w:tc>
        <w:tc>
          <w:tcPr>
            <w:tcW w:w="2764" w:type="dxa"/>
            <w:tcBorders>
              <w:top w:val="nil"/>
              <w:left w:val="nil"/>
              <w:bottom w:val="nil"/>
              <w:right w:val="single" w:sz="8" w:space="0" w:color="auto"/>
            </w:tcBorders>
          </w:tcPr>
          <w:p w14:paraId="37A1D1DA" w14:textId="2909DEAF" w:rsidR="7C2C6364" w:rsidRDefault="7C2C6364" w:rsidP="00BC3D50">
            <w:pPr>
              <w:ind w:left="-20" w:right="-20"/>
              <w:jc w:val="center"/>
              <w:rPr>
                <w:rFonts w:eastAsia="Times New Roman"/>
              </w:rPr>
            </w:pPr>
            <w:r w:rsidRPr="7C2C6364">
              <w:rPr>
                <w:rFonts w:eastAsia="Times New Roman"/>
              </w:rPr>
              <w:t>n/a</w:t>
            </w:r>
          </w:p>
        </w:tc>
      </w:tr>
      <w:tr w:rsidR="7C2C6364" w14:paraId="2C26CAA1" w14:textId="77777777" w:rsidTr="7C2C6364">
        <w:trPr>
          <w:trHeight w:val="300"/>
        </w:trPr>
        <w:tc>
          <w:tcPr>
            <w:tcW w:w="2362" w:type="dxa"/>
            <w:tcBorders>
              <w:top w:val="nil"/>
              <w:left w:val="single" w:sz="8" w:space="0" w:color="auto"/>
              <w:bottom w:val="nil"/>
              <w:right w:val="nil"/>
            </w:tcBorders>
          </w:tcPr>
          <w:p w14:paraId="69AB2404" w14:textId="1AFBE40E" w:rsidR="7C2C6364" w:rsidRDefault="7C2C6364" w:rsidP="003626F8">
            <w:pPr>
              <w:ind w:left="-20" w:right="-20"/>
              <w:rPr>
                <w:rFonts w:eastAsia="Times New Roman"/>
              </w:rPr>
            </w:pPr>
            <w:r w:rsidRPr="7C2C6364">
              <w:rPr>
                <w:rFonts w:eastAsia="Times New Roman"/>
              </w:rPr>
              <w:t>El Paso</w:t>
            </w:r>
          </w:p>
        </w:tc>
        <w:tc>
          <w:tcPr>
            <w:tcW w:w="2002" w:type="dxa"/>
            <w:tcBorders>
              <w:top w:val="nil"/>
              <w:left w:val="nil"/>
              <w:bottom w:val="nil"/>
              <w:right w:val="nil"/>
            </w:tcBorders>
          </w:tcPr>
          <w:p w14:paraId="5613D784" w14:textId="2ECF23D6" w:rsidR="7C2C6364" w:rsidRDefault="7C2C6364" w:rsidP="003626F8">
            <w:pPr>
              <w:ind w:left="-20" w:right="-20"/>
              <w:rPr>
                <w:rFonts w:eastAsia="Times New Roman"/>
              </w:rPr>
            </w:pPr>
            <w:r w:rsidRPr="7C2C6364">
              <w:rPr>
                <w:rFonts w:eastAsia="Times New Roman"/>
              </w:rPr>
              <w:t>2017</w:t>
            </w:r>
          </w:p>
        </w:tc>
        <w:tc>
          <w:tcPr>
            <w:tcW w:w="2232" w:type="dxa"/>
            <w:tcBorders>
              <w:top w:val="nil"/>
              <w:left w:val="nil"/>
              <w:bottom w:val="nil"/>
              <w:right w:val="nil"/>
            </w:tcBorders>
          </w:tcPr>
          <w:p w14:paraId="34F79B0F" w14:textId="3F12FD08" w:rsidR="7C2C6364" w:rsidRDefault="7C2C6364" w:rsidP="003626F8">
            <w:pPr>
              <w:ind w:left="-20" w:right="-20"/>
              <w:rPr>
                <w:rFonts w:eastAsia="Times New Roman"/>
              </w:rPr>
            </w:pPr>
            <w:r w:rsidRPr="7C2C6364">
              <w:rPr>
                <w:rFonts w:eastAsia="Times New Roman"/>
              </w:rPr>
              <w:t>46831</w:t>
            </w:r>
          </w:p>
        </w:tc>
        <w:tc>
          <w:tcPr>
            <w:tcW w:w="2764" w:type="dxa"/>
            <w:tcBorders>
              <w:top w:val="nil"/>
              <w:left w:val="nil"/>
              <w:bottom w:val="nil"/>
              <w:right w:val="single" w:sz="8" w:space="0" w:color="auto"/>
            </w:tcBorders>
          </w:tcPr>
          <w:p w14:paraId="4402D673" w14:textId="21F0ECD3" w:rsidR="7C2C6364" w:rsidRDefault="7C2C6364" w:rsidP="003626F8">
            <w:pPr>
              <w:ind w:left="-20" w:right="-20"/>
              <w:jc w:val="center"/>
              <w:rPr>
                <w:rFonts w:eastAsia="Times New Roman"/>
              </w:rPr>
            </w:pPr>
            <w:r w:rsidRPr="7C2C6364">
              <w:rPr>
                <w:rFonts w:eastAsia="Times New Roman"/>
              </w:rPr>
              <w:t>48.348%</w:t>
            </w:r>
          </w:p>
        </w:tc>
      </w:tr>
      <w:tr w:rsidR="00307A45" w14:paraId="1FEB8808" w14:textId="77777777" w:rsidTr="7C2C6364">
        <w:trPr>
          <w:trHeight w:val="300"/>
        </w:trPr>
        <w:tc>
          <w:tcPr>
            <w:tcW w:w="2362" w:type="dxa"/>
            <w:tcBorders>
              <w:top w:val="nil"/>
              <w:left w:val="single" w:sz="8" w:space="0" w:color="auto"/>
              <w:bottom w:val="nil"/>
              <w:right w:val="nil"/>
            </w:tcBorders>
          </w:tcPr>
          <w:p w14:paraId="2B4216F3" w14:textId="48FB087E" w:rsidR="00307A45" w:rsidRPr="7C2C6364" w:rsidRDefault="00307A45" w:rsidP="00307A45">
            <w:pPr>
              <w:ind w:left="-20" w:right="-20"/>
              <w:rPr>
                <w:rFonts w:eastAsia="Times New Roman"/>
              </w:rPr>
            </w:pPr>
            <w:r w:rsidRPr="7C2C6364">
              <w:rPr>
                <w:rFonts w:eastAsia="Times New Roman"/>
              </w:rPr>
              <w:t>El Paso</w:t>
            </w:r>
          </w:p>
        </w:tc>
        <w:tc>
          <w:tcPr>
            <w:tcW w:w="2002" w:type="dxa"/>
            <w:tcBorders>
              <w:top w:val="nil"/>
              <w:left w:val="nil"/>
              <w:bottom w:val="nil"/>
              <w:right w:val="nil"/>
            </w:tcBorders>
          </w:tcPr>
          <w:p w14:paraId="21773109" w14:textId="31CD6523" w:rsidR="00307A45" w:rsidRDefault="00307A45" w:rsidP="003626F8">
            <w:pPr>
              <w:ind w:left="-20" w:right="-20"/>
              <w:rPr>
                <w:rFonts w:eastAsia="Times New Roman"/>
              </w:rPr>
            </w:pPr>
            <w:r>
              <w:rPr>
                <w:rFonts w:eastAsia="Times New Roman"/>
              </w:rPr>
              <w:t>2022</w:t>
            </w:r>
          </w:p>
        </w:tc>
        <w:tc>
          <w:tcPr>
            <w:tcW w:w="2232" w:type="dxa"/>
            <w:tcBorders>
              <w:top w:val="nil"/>
              <w:left w:val="nil"/>
              <w:bottom w:val="nil"/>
              <w:right w:val="nil"/>
            </w:tcBorders>
          </w:tcPr>
          <w:p w14:paraId="74A0E80E" w14:textId="4492F775" w:rsidR="00307A45" w:rsidRDefault="00307A45" w:rsidP="003626F8">
            <w:pPr>
              <w:ind w:left="-20" w:right="-20"/>
              <w:rPr>
                <w:rFonts w:eastAsia="Times New Roman"/>
              </w:rPr>
            </w:pPr>
            <w:r>
              <w:rPr>
                <w:rFonts w:eastAsia="Times New Roman"/>
              </w:rPr>
              <w:t>52195</w:t>
            </w:r>
          </w:p>
        </w:tc>
        <w:tc>
          <w:tcPr>
            <w:tcW w:w="2764" w:type="dxa"/>
            <w:tcBorders>
              <w:top w:val="nil"/>
              <w:left w:val="nil"/>
              <w:bottom w:val="nil"/>
              <w:right w:val="single" w:sz="8" w:space="0" w:color="auto"/>
            </w:tcBorders>
          </w:tcPr>
          <w:p w14:paraId="5BF34D5B" w14:textId="4A818B7A" w:rsidR="00307A45" w:rsidRDefault="00307A45" w:rsidP="003626F8">
            <w:pPr>
              <w:ind w:left="-20" w:right="-20"/>
              <w:jc w:val="center"/>
              <w:rPr>
                <w:rFonts w:eastAsia="Times New Roman"/>
              </w:rPr>
            </w:pPr>
            <w:r>
              <w:rPr>
                <w:rFonts w:eastAsia="Times New Roman"/>
              </w:rPr>
              <w:t>51%</w:t>
            </w:r>
          </w:p>
        </w:tc>
      </w:tr>
      <w:tr w:rsidR="7C2C6364" w14:paraId="5AB8654A" w14:textId="77777777" w:rsidTr="7C2C6364">
        <w:trPr>
          <w:trHeight w:val="300"/>
        </w:trPr>
        <w:tc>
          <w:tcPr>
            <w:tcW w:w="2362" w:type="dxa"/>
            <w:tcBorders>
              <w:top w:val="nil"/>
              <w:left w:val="single" w:sz="8" w:space="0" w:color="auto"/>
              <w:bottom w:val="nil"/>
              <w:right w:val="nil"/>
            </w:tcBorders>
          </w:tcPr>
          <w:p w14:paraId="3A30B51D" w14:textId="5FC26983" w:rsidR="7C2C6364" w:rsidRDefault="7C2C6364" w:rsidP="003626F8">
            <w:pPr>
              <w:ind w:left="-20" w:right="-20"/>
              <w:rPr>
                <w:rFonts w:eastAsia="Times New Roman"/>
              </w:rPr>
            </w:pPr>
            <w:r w:rsidRPr="7C2C6364">
              <w:rPr>
                <w:rFonts w:eastAsia="Times New Roman"/>
              </w:rPr>
              <w:t>Entergy Texas</w:t>
            </w:r>
          </w:p>
        </w:tc>
        <w:tc>
          <w:tcPr>
            <w:tcW w:w="2002" w:type="dxa"/>
            <w:tcBorders>
              <w:top w:val="nil"/>
              <w:left w:val="nil"/>
              <w:bottom w:val="nil"/>
              <w:right w:val="nil"/>
            </w:tcBorders>
          </w:tcPr>
          <w:p w14:paraId="4F4AE5E5" w14:textId="74DC5FB5" w:rsidR="7C2C6364" w:rsidRDefault="7C2C6364" w:rsidP="003626F8">
            <w:pPr>
              <w:ind w:left="-20" w:right="-20"/>
              <w:rPr>
                <w:rFonts w:eastAsia="Times New Roman"/>
              </w:rPr>
            </w:pPr>
            <w:r w:rsidRPr="7C2C6364">
              <w:rPr>
                <w:rFonts w:eastAsia="Times New Roman"/>
              </w:rPr>
              <w:t>2009</w:t>
            </w:r>
          </w:p>
        </w:tc>
        <w:tc>
          <w:tcPr>
            <w:tcW w:w="2232" w:type="dxa"/>
            <w:tcBorders>
              <w:top w:val="nil"/>
              <w:left w:val="nil"/>
              <w:bottom w:val="nil"/>
              <w:right w:val="nil"/>
            </w:tcBorders>
          </w:tcPr>
          <w:p w14:paraId="07498B9C" w14:textId="2898D223" w:rsidR="7C2C6364" w:rsidRDefault="7C2C6364" w:rsidP="003626F8">
            <w:pPr>
              <w:ind w:left="-20" w:right="-20"/>
              <w:rPr>
                <w:rFonts w:eastAsia="Times New Roman"/>
              </w:rPr>
            </w:pPr>
            <w:r w:rsidRPr="7C2C6364">
              <w:rPr>
                <w:rFonts w:eastAsia="Times New Roman"/>
              </w:rPr>
              <w:t>34800</w:t>
            </w:r>
          </w:p>
        </w:tc>
        <w:tc>
          <w:tcPr>
            <w:tcW w:w="2764" w:type="dxa"/>
            <w:tcBorders>
              <w:top w:val="nil"/>
              <w:left w:val="nil"/>
              <w:bottom w:val="nil"/>
              <w:right w:val="single" w:sz="8" w:space="0" w:color="auto"/>
            </w:tcBorders>
          </w:tcPr>
          <w:p w14:paraId="1012C288" w14:textId="28AC5F9E" w:rsidR="7C2C6364" w:rsidRDefault="7C2C6364" w:rsidP="003626F8">
            <w:pPr>
              <w:ind w:left="-20" w:right="-20"/>
              <w:jc w:val="center"/>
              <w:rPr>
                <w:rFonts w:eastAsia="Times New Roman"/>
              </w:rPr>
            </w:pPr>
            <w:r w:rsidRPr="7C2C6364">
              <w:rPr>
                <w:rFonts w:eastAsia="Times New Roman"/>
              </w:rPr>
              <w:t>n/a</w:t>
            </w:r>
          </w:p>
        </w:tc>
      </w:tr>
      <w:tr w:rsidR="7C2C6364" w14:paraId="1CCC00D5" w14:textId="77777777" w:rsidTr="7C2C6364">
        <w:trPr>
          <w:trHeight w:val="300"/>
        </w:trPr>
        <w:tc>
          <w:tcPr>
            <w:tcW w:w="2362" w:type="dxa"/>
            <w:tcBorders>
              <w:top w:val="nil"/>
              <w:left w:val="single" w:sz="8" w:space="0" w:color="auto"/>
              <w:bottom w:val="nil"/>
              <w:right w:val="nil"/>
            </w:tcBorders>
          </w:tcPr>
          <w:p w14:paraId="5FCF2D97" w14:textId="00235D95" w:rsidR="7C2C6364" w:rsidRDefault="7C2C6364" w:rsidP="003626F8">
            <w:pPr>
              <w:ind w:left="-20" w:right="-20"/>
              <w:rPr>
                <w:rFonts w:eastAsia="Times New Roman"/>
              </w:rPr>
            </w:pPr>
            <w:r w:rsidRPr="7C2C6364">
              <w:rPr>
                <w:rFonts w:eastAsia="Times New Roman"/>
              </w:rPr>
              <w:t>Entergy Texas</w:t>
            </w:r>
          </w:p>
        </w:tc>
        <w:tc>
          <w:tcPr>
            <w:tcW w:w="2002" w:type="dxa"/>
            <w:tcBorders>
              <w:top w:val="nil"/>
              <w:left w:val="nil"/>
              <w:bottom w:val="nil"/>
              <w:right w:val="nil"/>
            </w:tcBorders>
          </w:tcPr>
          <w:p w14:paraId="5B49CB27" w14:textId="24DE2341" w:rsidR="7C2C6364" w:rsidRDefault="7C2C6364" w:rsidP="003626F8">
            <w:pPr>
              <w:ind w:left="-20" w:right="-20"/>
              <w:rPr>
                <w:rFonts w:eastAsia="Times New Roman"/>
              </w:rPr>
            </w:pPr>
            <w:r w:rsidRPr="7C2C6364">
              <w:rPr>
                <w:rFonts w:eastAsia="Times New Roman"/>
              </w:rPr>
              <w:t>2010</w:t>
            </w:r>
          </w:p>
        </w:tc>
        <w:tc>
          <w:tcPr>
            <w:tcW w:w="2232" w:type="dxa"/>
            <w:tcBorders>
              <w:top w:val="nil"/>
              <w:left w:val="nil"/>
              <w:bottom w:val="nil"/>
              <w:right w:val="nil"/>
            </w:tcBorders>
          </w:tcPr>
          <w:p w14:paraId="5A0A6B87" w14:textId="530E773C" w:rsidR="7C2C6364" w:rsidRDefault="7C2C6364" w:rsidP="003626F8">
            <w:pPr>
              <w:ind w:left="-20" w:right="-20"/>
              <w:rPr>
                <w:rFonts w:eastAsia="Times New Roman"/>
              </w:rPr>
            </w:pPr>
            <w:r w:rsidRPr="7C2C6364">
              <w:rPr>
                <w:rFonts w:eastAsia="Times New Roman"/>
              </w:rPr>
              <w:t>37744</w:t>
            </w:r>
          </w:p>
        </w:tc>
        <w:tc>
          <w:tcPr>
            <w:tcW w:w="2764" w:type="dxa"/>
            <w:tcBorders>
              <w:top w:val="nil"/>
              <w:left w:val="nil"/>
              <w:bottom w:val="nil"/>
              <w:right w:val="single" w:sz="8" w:space="0" w:color="auto"/>
            </w:tcBorders>
          </w:tcPr>
          <w:p w14:paraId="1F916433" w14:textId="78C8D217" w:rsidR="7C2C6364" w:rsidRDefault="00152E71" w:rsidP="003626F8">
            <w:pPr>
              <w:ind w:left="-20" w:right="-20"/>
              <w:jc w:val="center"/>
              <w:rPr>
                <w:rFonts w:eastAsia="Times New Roman"/>
              </w:rPr>
            </w:pPr>
            <w:r>
              <w:rPr>
                <w:rFonts w:eastAsia="Times New Roman"/>
              </w:rPr>
              <w:t>n/a</w:t>
            </w:r>
          </w:p>
        </w:tc>
      </w:tr>
      <w:tr w:rsidR="7C2C6364" w14:paraId="5B8F3C3C" w14:textId="77777777" w:rsidTr="7C2C6364">
        <w:trPr>
          <w:trHeight w:val="300"/>
        </w:trPr>
        <w:tc>
          <w:tcPr>
            <w:tcW w:w="2362" w:type="dxa"/>
            <w:tcBorders>
              <w:top w:val="nil"/>
              <w:left w:val="single" w:sz="8" w:space="0" w:color="auto"/>
              <w:bottom w:val="nil"/>
              <w:right w:val="nil"/>
            </w:tcBorders>
          </w:tcPr>
          <w:p w14:paraId="51EBE03C" w14:textId="461417B7" w:rsidR="7C2C6364" w:rsidRDefault="7C2C6364" w:rsidP="003626F8">
            <w:pPr>
              <w:ind w:left="-20" w:right="-20"/>
              <w:rPr>
                <w:rFonts w:eastAsia="Times New Roman"/>
              </w:rPr>
            </w:pPr>
            <w:r w:rsidRPr="7C2C6364">
              <w:rPr>
                <w:rFonts w:eastAsia="Times New Roman"/>
              </w:rPr>
              <w:t>Entergy Texas</w:t>
            </w:r>
          </w:p>
        </w:tc>
        <w:tc>
          <w:tcPr>
            <w:tcW w:w="2002" w:type="dxa"/>
            <w:tcBorders>
              <w:top w:val="nil"/>
              <w:left w:val="nil"/>
              <w:bottom w:val="nil"/>
              <w:right w:val="nil"/>
            </w:tcBorders>
          </w:tcPr>
          <w:p w14:paraId="1A888E57" w14:textId="244C5C83" w:rsidR="7C2C6364" w:rsidRDefault="7C2C6364" w:rsidP="003626F8">
            <w:pPr>
              <w:ind w:left="-20" w:right="-20"/>
              <w:rPr>
                <w:rFonts w:eastAsia="Times New Roman"/>
              </w:rPr>
            </w:pPr>
            <w:r w:rsidRPr="7C2C6364">
              <w:rPr>
                <w:rFonts w:eastAsia="Times New Roman"/>
              </w:rPr>
              <w:t>2012</w:t>
            </w:r>
          </w:p>
        </w:tc>
        <w:tc>
          <w:tcPr>
            <w:tcW w:w="2232" w:type="dxa"/>
            <w:tcBorders>
              <w:top w:val="nil"/>
              <w:left w:val="nil"/>
              <w:bottom w:val="nil"/>
              <w:right w:val="nil"/>
            </w:tcBorders>
          </w:tcPr>
          <w:p w14:paraId="5E03555E" w14:textId="692EEB6E" w:rsidR="7C2C6364" w:rsidRDefault="7C2C6364" w:rsidP="003626F8">
            <w:pPr>
              <w:ind w:left="-20" w:right="-20"/>
              <w:rPr>
                <w:rFonts w:eastAsia="Times New Roman"/>
              </w:rPr>
            </w:pPr>
            <w:r w:rsidRPr="7C2C6364">
              <w:rPr>
                <w:rFonts w:eastAsia="Times New Roman"/>
              </w:rPr>
              <w:t>39896</w:t>
            </w:r>
          </w:p>
        </w:tc>
        <w:tc>
          <w:tcPr>
            <w:tcW w:w="2764" w:type="dxa"/>
            <w:tcBorders>
              <w:top w:val="nil"/>
              <w:left w:val="nil"/>
              <w:bottom w:val="nil"/>
              <w:right w:val="single" w:sz="8" w:space="0" w:color="auto"/>
            </w:tcBorders>
          </w:tcPr>
          <w:p w14:paraId="65DE45AC" w14:textId="4B30C1F4" w:rsidR="7C2C6364" w:rsidRDefault="00587B1D" w:rsidP="00BC3D50">
            <w:pPr>
              <w:ind w:left="-20" w:right="-20"/>
              <w:jc w:val="center"/>
              <w:rPr>
                <w:rFonts w:eastAsia="Times New Roman"/>
              </w:rPr>
            </w:pPr>
            <w:r>
              <w:rPr>
                <w:rFonts w:eastAsia="Times New Roman"/>
              </w:rPr>
              <w:t>49.92</w:t>
            </w:r>
            <w:r w:rsidR="00816ED3">
              <w:rPr>
                <w:rFonts w:eastAsia="Times New Roman"/>
              </w:rPr>
              <w:t>%</w:t>
            </w:r>
          </w:p>
        </w:tc>
      </w:tr>
      <w:tr w:rsidR="7C2C6364" w14:paraId="50A6C030" w14:textId="77777777" w:rsidTr="7C2C6364">
        <w:trPr>
          <w:trHeight w:val="300"/>
        </w:trPr>
        <w:tc>
          <w:tcPr>
            <w:tcW w:w="2362" w:type="dxa"/>
            <w:tcBorders>
              <w:top w:val="nil"/>
              <w:left w:val="single" w:sz="8" w:space="0" w:color="auto"/>
              <w:bottom w:val="nil"/>
              <w:right w:val="nil"/>
            </w:tcBorders>
          </w:tcPr>
          <w:p w14:paraId="4600F4BB" w14:textId="73A75AC7" w:rsidR="7C2C6364" w:rsidRDefault="7C2C6364" w:rsidP="00BC3D50">
            <w:pPr>
              <w:ind w:left="-20" w:right="-20"/>
              <w:rPr>
                <w:rFonts w:eastAsia="Times New Roman"/>
              </w:rPr>
            </w:pPr>
            <w:r w:rsidRPr="7C2C6364">
              <w:rPr>
                <w:rFonts w:eastAsia="Times New Roman"/>
              </w:rPr>
              <w:t>Entergy Texas</w:t>
            </w:r>
          </w:p>
        </w:tc>
        <w:tc>
          <w:tcPr>
            <w:tcW w:w="2002" w:type="dxa"/>
            <w:tcBorders>
              <w:top w:val="nil"/>
              <w:left w:val="nil"/>
              <w:bottom w:val="nil"/>
              <w:right w:val="nil"/>
            </w:tcBorders>
          </w:tcPr>
          <w:p w14:paraId="14DF0070" w14:textId="3FE20647" w:rsidR="7C2C6364" w:rsidRDefault="7C2C6364" w:rsidP="00BC3D50">
            <w:pPr>
              <w:ind w:left="-20" w:right="-20"/>
              <w:rPr>
                <w:rFonts w:eastAsia="Times New Roman"/>
              </w:rPr>
            </w:pPr>
            <w:r w:rsidRPr="7C2C6364">
              <w:rPr>
                <w:rFonts w:eastAsia="Times New Roman"/>
              </w:rPr>
              <w:t>2014</w:t>
            </w:r>
          </w:p>
        </w:tc>
        <w:tc>
          <w:tcPr>
            <w:tcW w:w="2232" w:type="dxa"/>
            <w:tcBorders>
              <w:top w:val="nil"/>
              <w:left w:val="nil"/>
              <w:bottom w:val="nil"/>
              <w:right w:val="nil"/>
            </w:tcBorders>
          </w:tcPr>
          <w:p w14:paraId="2838BDBB" w14:textId="4F58EB3D" w:rsidR="7C2C6364" w:rsidRDefault="7C2C6364" w:rsidP="00BC3D50">
            <w:pPr>
              <w:ind w:left="-20" w:right="-20"/>
              <w:rPr>
                <w:rFonts w:eastAsia="Times New Roman"/>
              </w:rPr>
            </w:pPr>
            <w:r w:rsidRPr="7C2C6364">
              <w:rPr>
                <w:rFonts w:eastAsia="Times New Roman"/>
              </w:rPr>
              <w:t>41791</w:t>
            </w:r>
          </w:p>
        </w:tc>
        <w:tc>
          <w:tcPr>
            <w:tcW w:w="2764" w:type="dxa"/>
            <w:tcBorders>
              <w:top w:val="nil"/>
              <w:left w:val="nil"/>
              <w:bottom w:val="nil"/>
              <w:right w:val="single" w:sz="8" w:space="0" w:color="auto"/>
            </w:tcBorders>
          </w:tcPr>
          <w:p w14:paraId="19CF2871" w14:textId="288D8263" w:rsidR="7C2C6364" w:rsidRDefault="00834788" w:rsidP="00BC3D50">
            <w:pPr>
              <w:ind w:left="-20" w:right="-20"/>
              <w:jc w:val="center"/>
              <w:rPr>
                <w:rFonts w:eastAsia="Times New Roman"/>
              </w:rPr>
            </w:pPr>
            <w:r>
              <w:rPr>
                <w:rFonts w:eastAsia="Times New Roman"/>
              </w:rPr>
              <w:t>n/a</w:t>
            </w:r>
          </w:p>
        </w:tc>
      </w:tr>
      <w:tr w:rsidR="7C2C6364" w14:paraId="29778145" w14:textId="77777777" w:rsidTr="7C2C6364">
        <w:trPr>
          <w:trHeight w:val="300"/>
        </w:trPr>
        <w:tc>
          <w:tcPr>
            <w:tcW w:w="2362" w:type="dxa"/>
            <w:tcBorders>
              <w:top w:val="nil"/>
              <w:left w:val="single" w:sz="8" w:space="0" w:color="auto"/>
              <w:bottom w:val="nil"/>
              <w:right w:val="nil"/>
            </w:tcBorders>
          </w:tcPr>
          <w:p w14:paraId="0FD1D9BA" w14:textId="652FE3AF" w:rsidR="7C2C6364" w:rsidRDefault="7C2C6364" w:rsidP="00BC3D50">
            <w:pPr>
              <w:ind w:left="-20" w:right="-20"/>
              <w:rPr>
                <w:rFonts w:eastAsia="Times New Roman"/>
              </w:rPr>
            </w:pPr>
            <w:r w:rsidRPr="7C2C6364">
              <w:rPr>
                <w:rFonts w:eastAsia="Times New Roman"/>
              </w:rPr>
              <w:t>Entergy Texas</w:t>
            </w:r>
          </w:p>
        </w:tc>
        <w:tc>
          <w:tcPr>
            <w:tcW w:w="2002" w:type="dxa"/>
            <w:tcBorders>
              <w:top w:val="nil"/>
              <w:left w:val="nil"/>
              <w:bottom w:val="nil"/>
              <w:right w:val="nil"/>
            </w:tcBorders>
          </w:tcPr>
          <w:p w14:paraId="7816E7DE" w14:textId="709C3AE6" w:rsidR="7C2C6364" w:rsidRDefault="7C2C6364" w:rsidP="00BC3D50">
            <w:pPr>
              <w:ind w:left="-20" w:right="-20"/>
              <w:rPr>
                <w:rFonts w:eastAsia="Times New Roman"/>
              </w:rPr>
            </w:pPr>
            <w:r w:rsidRPr="7C2C6364">
              <w:rPr>
                <w:rFonts w:eastAsia="Times New Roman"/>
              </w:rPr>
              <w:t>2018</w:t>
            </w:r>
          </w:p>
        </w:tc>
        <w:tc>
          <w:tcPr>
            <w:tcW w:w="2232" w:type="dxa"/>
            <w:tcBorders>
              <w:top w:val="nil"/>
              <w:left w:val="nil"/>
              <w:bottom w:val="nil"/>
              <w:right w:val="nil"/>
            </w:tcBorders>
          </w:tcPr>
          <w:p w14:paraId="02EFDFED" w14:textId="3560295C" w:rsidR="7C2C6364" w:rsidRDefault="7C2C6364" w:rsidP="00BC3D50">
            <w:pPr>
              <w:ind w:left="-20" w:right="-20"/>
              <w:rPr>
                <w:rFonts w:eastAsia="Times New Roman"/>
              </w:rPr>
            </w:pPr>
            <w:r w:rsidRPr="7C2C6364">
              <w:rPr>
                <w:rFonts w:eastAsia="Times New Roman"/>
              </w:rPr>
              <w:t>48371</w:t>
            </w:r>
          </w:p>
        </w:tc>
        <w:tc>
          <w:tcPr>
            <w:tcW w:w="2764" w:type="dxa"/>
            <w:tcBorders>
              <w:top w:val="nil"/>
              <w:left w:val="nil"/>
              <w:bottom w:val="nil"/>
              <w:right w:val="single" w:sz="8" w:space="0" w:color="auto"/>
            </w:tcBorders>
          </w:tcPr>
          <w:p w14:paraId="3C69A0EC" w14:textId="5F141080" w:rsidR="7C2C6364" w:rsidRDefault="7C2C6364" w:rsidP="00BC3D50">
            <w:pPr>
              <w:ind w:left="-20" w:right="-20"/>
              <w:jc w:val="center"/>
              <w:rPr>
                <w:rFonts w:eastAsia="Times New Roman"/>
              </w:rPr>
            </w:pPr>
            <w:r w:rsidRPr="7C2C6364">
              <w:rPr>
                <w:rFonts w:eastAsia="Times New Roman"/>
              </w:rPr>
              <w:t>50.90%</w:t>
            </w:r>
          </w:p>
        </w:tc>
      </w:tr>
      <w:tr w:rsidR="7C2C6364" w14:paraId="480D8864" w14:textId="77777777" w:rsidTr="7C2C6364">
        <w:trPr>
          <w:trHeight w:val="300"/>
        </w:trPr>
        <w:tc>
          <w:tcPr>
            <w:tcW w:w="2362" w:type="dxa"/>
            <w:tcBorders>
              <w:top w:val="nil"/>
              <w:left w:val="single" w:sz="8" w:space="0" w:color="auto"/>
              <w:bottom w:val="nil"/>
              <w:right w:val="nil"/>
            </w:tcBorders>
          </w:tcPr>
          <w:p w14:paraId="4AD35722" w14:textId="6F12CAB4" w:rsidR="7C2C6364" w:rsidRDefault="7C2C6364" w:rsidP="00BC3D50">
            <w:pPr>
              <w:ind w:left="-20" w:right="-20"/>
              <w:rPr>
                <w:rFonts w:eastAsia="Times New Roman"/>
              </w:rPr>
            </w:pPr>
            <w:r w:rsidRPr="7C2C6364">
              <w:rPr>
                <w:rFonts w:eastAsia="Times New Roman"/>
              </w:rPr>
              <w:t>Entergy Texas</w:t>
            </w:r>
          </w:p>
        </w:tc>
        <w:tc>
          <w:tcPr>
            <w:tcW w:w="2002" w:type="dxa"/>
            <w:tcBorders>
              <w:top w:val="nil"/>
              <w:left w:val="nil"/>
              <w:bottom w:val="nil"/>
              <w:right w:val="nil"/>
            </w:tcBorders>
          </w:tcPr>
          <w:p w14:paraId="6D037947" w14:textId="2B0D9DDF" w:rsidR="7C2C6364" w:rsidRDefault="7C2C6364" w:rsidP="00BC3D50">
            <w:pPr>
              <w:ind w:left="-20" w:right="-20"/>
              <w:rPr>
                <w:rFonts w:eastAsia="Times New Roman"/>
              </w:rPr>
            </w:pPr>
            <w:r w:rsidRPr="7C2C6364">
              <w:rPr>
                <w:rFonts w:eastAsia="Times New Roman"/>
              </w:rPr>
              <w:t>2023</w:t>
            </w:r>
          </w:p>
        </w:tc>
        <w:tc>
          <w:tcPr>
            <w:tcW w:w="2232" w:type="dxa"/>
            <w:tcBorders>
              <w:top w:val="nil"/>
              <w:left w:val="nil"/>
              <w:bottom w:val="nil"/>
              <w:right w:val="nil"/>
            </w:tcBorders>
          </w:tcPr>
          <w:p w14:paraId="218AD7EA" w14:textId="095D9C17" w:rsidR="7C2C6364" w:rsidRDefault="7C2C6364" w:rsidP="00BC3D50">
            <w:pPr>
              <w:ind w:left="-20" w:right="-20"/>
              <w:rPr>
                <w:rFonts w:eastAsia="Times New Roman"/>
              </w:rPr>
            </w:pPr>
            <w:r w:rsidRPr="7C2C6364">
              <w:rPr>
                <w:rFonts w:eastAsia="Times New Roman"/>
              </w:rPr>
              <w:t>53719</w:t>
            </w:r>
          </w:p>
        </w:tc>
        <w:tc>
          <w:tcPr>
            <w:tcW w:w="2764" w:type="dxa"/>
            <w:tcBorders>
              <w:top w:val="nil"/>
              <w:left w:val="nil"/>
              <w:bottom w:val="nil"/>
              <w:right w:val="single" w:sz="8" w:space="0" w:color="auto"/>
            </w:tcBorders>
          </w:tcPr>
          <w:p w14:paraId="0279CAB9" w14:textId="413EC7CD" w:rsidR="7C2C6364" w:rsidRDefault="7C2C6364" w:rsidP="00BC3D50">
            <w:pPr>
              <w:ind w:left="-20" w:right="-20"/>
              <w:jc w:val="center"/>
              <w:rPr>
                <w:rFonts w:eastAsia="Times New Roman"/>
              </w:rPr>
            </w:pPr>
            <w:r w:rsidRPr="7C2C6364">
              <w:rPr>
                <w:rFonts w:eastAsia="Times New Roman"/>
              </w:rPr>
              <w:t>51.21%</w:t>
            </w:r>
          </w:p>
        </w:tc>
      </w:tr>
      <w:tr w:rsidR="7C2C6364" w14:paraId="6D77D630" w14:textId="77777777" w:rsidTr="7C2C6364">
        <w:trPr>
          <w:trHeight w:val="300"/>
        </w:trPr>
        <w:tc>
          <w:tcPr>
            <w:tcW w:w="2362" w:type="dxa"/>
            <w:tcBorders>
              <w:top w:val="nil"/>
              <w:left w:val="single" w:sz="8" w:space="0" w:color="auto"/>
              <w:bottom w:val="nil"/>
              <w:right w:val="nil"/>
            </w:tcBorders>
          </w:tcPr>
          <w:p w14:paraId="75226DDB" w14:textId="5CE38F36" w:rsidR="7C2C6364" w:rsidRDefault="7C2C6364" w:rsidP="00BC3D50">
            <w:pPr>
              <w:ind w:left="-20" w:right="-20"/>
              <w:rPr>
                <w:rFonts w:eastAsia="Times New Roman"/>
              </w:rPr>
            </w:pPr>
            <w:r w:rsidRPr="7C2C6364">
              <w:rPr>
                <w:rFonts w:eastAsia="Times New Roman"/>
              </w:rPr>
              <w:t>SPS</w:t>
            </w:r>
          </w:p>
        </w:tc>
        <w:tc>
          <w:tcPr>
            <w:tcW w:w="2002" w:type="dxa"/>
            <w:tcBorders>
              <w:top w:val="nil"/>
              <w:left w:val="nil"/>
              <w:bottom w:val="nil"/>
              <w:right w:val="nil"/>
            </w:tcBorders>
          </w:tcPr>
          <w:p w14:paraId="54EFE459" w14:textId="52F5CF5F" w:rsidR="7C2C6364" w:rsidRDefault="7C2C6364" w:rsidP="00BC3D50">
            <w:pPr>
              <w:ind w:left="-20" w:right="-20"/>
              <w:rPr>
                <w:rFonts w:eastAsia="Times New Roman"/>
              </w:rPr>
            </w:pPr>
            <w:r w:rsidRPr="7C2C6364">
              <w:rPr>
                <w:rFonts w:eastAsia="Times New Roman"/>
              </w:rPr>
              <w:t>2009</w:t>
            </w:r>
          </w:p>
        </w:tc>
        <w:tc>
          <w:tcPr>
            <w:tcW w:w="2232" w:type="dxa"/>
            <w:tcBorders>
              <w:top w:val="nil"/>
              <w:left w:val="nil"/>
              <w:bottom w:val="nil"/>
              <w:right w:val="nil"/>
            </w:tcBorders>
          </w:tcPr>
          <w:p w14:paraId="798EBF66" w14:textId="51477C8D" w:rsidR="7C2C6364" w:rsidRDefault="7C2C6364" w:rsidP="00BC3D50">
            <w:pPr>
              <w:ind w:left="-20" w:right="-20"/>
              <w:rPr>
                <w:rFonts w:eastAsia="Times New Roman"/>
              </w:rPr>
            </w:pPr>
            <w:r w:rsidRPr="7C2C6364">
              <w:rPr>
                <w:rFonts w:eastAsia="Times New Roman"/>
              </w:rPr>
              <w:t>35763</w:t>
            </w:r>
          </w:p>
        </w:tc>
        <w:tc>
          <w:tcPr>
            <w:tcW w:w="2764" w:type="dxa"/>
            <w:tcBorders>
              <w:top w:val="nil"/>
              <w:left w:val="nil"/>
              <w:bottom w:val="nil"/>
              <w:right w:val="single" w:sz="8" w:space="0" w:color="auto"/>
            </w:tcBorders>
          </w:tcPr>
          <w:p w14:paraId="42FCADCE" w14:textId="334E4B00" w:rsidR="7C2C6364" w:rsidRDefault="7C2C6364" w:rsidP="00BC3D50">
            <w:pPr>
              <w:ind w:left="-20" w:right="-20"/>
              <w:jc w:val="center"/>
              <w:rPr>
                <w:rFonts w:eastAsia="Times New Roman"/>
              </w:rPr>
            </w:pPr>
            <w:r w:rsidRPr="7C2C6364">
              <w:rPr>
                <w:rFonts w:eastAsia="Times New Roman"/>
              </w:rPr>
              <w:t>51.01%</w:t>
            </w:r>
          </w:p>
        </w:tc>
      </w:tr>
      <w:tr w:rsidR="00307A45" w14:paraId="2318684A" w14:textId="77777777" w:rsidTr="7C2C6364">
        <w:trPr>
          <w:trHeight w:val="300"/>
        </w:trPr>
        <w:tc>
          <w:tcPr>
            <w:tcW w:w="2362" w:type="dxa"/>
            <w:tcBorders>
              <w:top w:val="nil"/>
              <w:left w:val="single" w:sz="8" w:space="0" w:color="auto"/>
              <w:bottom w:val="nil"/>
              <w:right w:val="nil"/>
            </w:tcBorders>
          </w:tcPr>
          <w:p w14:paraId="78E8A8A4" w14:textId="33332DB9" w:rsidR="00307A45" w:rsidRPr="7C2C6364" w:rsidRDefault="00AB122E" w:rsidP="00596230">
            <w:pPr>
              <w:ind w:left="-20" w:right="-20"/>
              <w:rPr>
                <w:rFonts w:eastAsia="Times New Roman"/>
              </w:rPr>
            </w:pPr>
            <w:r>
              <w:rPr>
                <w:rFonts w:eastAsia="Times New Roman"/>
              </w:rPr>
              <w:lastRenderedPageBreak/>
              <w:t>SPS</w:t>
            </w:r>
          </w:p>
        </w:tc>
        <w:tc>
          <w:tcPr>
            <w:tcW w:w="2002" w:type="dxa"/>
            <w:tcBorders>
              <w:top w:val="nil"/>
              <w:left w:val="nil"/>
              <w:bottom w:val="nil"/>
              <w:right w:val="nil"/>
            </w:tcBorders>
          </w:tcPr>
          <w:p w14:paraId="109A98C9" w14:textId="09BB0C32" w:rsidR="00307A45" w:rsidRPr="7C2C6364" w:rsidRDefault="0055475D" w:rsidP="00596230">
            <w:pPr>
              <w:ind w:left="-20" w:right="-20"/>
              <w:rPr>
                <w:rFonts w:eastAsia="Times New Roman"/>
              </w:rPr>
            </w:pPr>
            <w:r>
              <w:rPr>
                <w:rFonts w:eastAsia="Times New Roman"/>
              </w:rPr>
              <w:t>2011</w:t>
            </w:r>
          </w:p>
        </w:tc>
        <w:tc>
          <w:tcPr>
            <w:tcW w:w="2232" w:type="dxa"/>
            <w:tcBorders>
              <w:top w:val="nil"/>
              <w:left w:val="nil"/>
              <w:bottom w:val="nil"/>
              <w:right w:val="nil"/>
            </w:tcBorders>
          </w:tcPr>
          <w:p w14:paraId="15E41E94" w14:textId="5FFE1658" w:rsidR="00307A45" w:rsidRPr="7C2C6364" w:rsidRDefault="00851B86" w:rsidP="00596230">
            <w:pPr>
              <w:ind w:left="-20" w:right="-20"/>
              <w:rPr>
                <w:rFonts w:eastAsia="Times New Roman"/>
              </w:rPr>
            </w:pPr>
            <w:r>
              <w:rPr>
                <w:rFonts w:eastAsia="Times New Roman"/>
              </w:rPr>
              <w:t>38147</w:t>
            </w:r>
          </w:p>
        </w:tc>
        <w:tc>
          <w:tcPr>
            <w:tcW w:w="2764" w:type="dxa"/>
            <w:tcBorders>
              <w:top w:val="nil"/>
              <w:left w:val="nil"/>
              <w:bottom w:val="nil"/>
              <w:right w:val="single" w:sz="8" w:space="0" w:color="auto"/>
            </w:tcBorders>
          </w:tcPr>
          <w:p w14:paraId="6B75D926" w14:textId="773EF10C" w:rsidR="00307A45" w:rsidRPr="7C2C6364" w:rsidRDefault="00907DE2" w:rsidP="00596230">
            <w:pPr>
              <w:ind w:left="-20" w:right="-20"/>
              <w:jc w:val="center"/>
              <w:rPr>
                <w:rFonts w:eastAsia="Times New Roman"/>
              </w:rPr>
            </w:pPr>
            <w:r>
              <w:rPr>
                <w:rFonts w:eastAsia="Times New Roman"/>
              </w:rPr>
              <w:t>n/a</w:t>
            </w:r>
          </w:p>
        </w:tc>
      </w:tr>
      <w:tr w:rsidR="7C2C6364" w14:paraId="267CB0ED" w14:textId="77777777" w:rsidTr="7C2C6364">
        <w:trPr>
          <w:trHeight w:val="300"/>
        </w:trPr>
        <w:tc>
          <w:tcPr>
            <w:tcW w:w="2362" w:type="dxa"/>
            <w:tcBorders>
              <w:top w:val="nil"/>
              <w:left w:val="single" w:sz="8" w:space="0" w:color="auto"/>
              <w:bottom w:val="nil"/>
              <w:right w:val="nil"/>
            </w:tcBorders>
          </w:tcPr>
          <w:p w14:paraId="03719A71" w14:textId="191AF1C2" w:rsidR="7C2C6364" w:rsidRDefault="7C2C6364" w:rsidP="00596230">
            <w:pPr>
              <w:ind w:left="-20" w:right="-20"/>
              <w:rPr>
                <w:rFonts w:eastAsia="Times New Roman"/>
              </w:rPr>
            </w:pPr>
            <w:r w:rsidRPr="7C2C6364">
              <w:rPr>
                <w:rFonts w:eastAsia="Times New Roman"/>
              </w:rPr>
              <w:t>SPS</w:t>
            </w:r>
          </w:p>
        </w:tc>
        <w:tc>
          <w:tcPr>
            <w:tcW w:w="2002" w:type="dxa"/>
            <w:tcBorders>
              <w:top w:val="nil"/>
              <w:left w:val="nil"/>
              <w:bottom w:val="nil"/>
              <w:right w:val="nil"/>
            </w:tcBorders>
          </w:tcPr>
          <w:p w14:paraId="0F2491F0" w14:textId="403625EA" w:rsidR="7C2C6364" w:rsidRDefault="7C2C6364" w:rsidP="00596230">
            <w:pPr>
              <w:ind w:left="-20" w:right="-20"/>
              <w:rPr>
                <w:rFonts w:eastAsia="Times New Roman"/>
              </w:rPr>
            </w:pPr>
            <w:r w:rsidRPr="7C2C6364">
              <w:rPr>
                <w:rFonts w:eastAsia="Times New Roman"/>
              </w:rPr>
              <w:t>2013</w:t>
            </w:r>
          </w:p>
        </w:tc>
        <w:tc>
          <w:tcPr>
            <w:tcW w:w="2232" w:type="dxa"/>
            <w:tcBorders>
              <w:top w:val="nil"/>
              <w:left w:val="nil"/>
              <w:bottom w:val="nil"/>
              <w:right w:val="nil"/>
            </w:tcBorders>
          </w:tcPr>
          <w:p w14:paraId="2CDCE792" w14:textId="76E0D0A9" w:rsidR="7C2C6364" w:rsidRDefault="7C2C6364" w:rsidP="00596230">
            <w:pPr>
              <w:ind w:left="-20" w:right="-20"/>
              <w:rPr>
                <w:rFonts w:eastAsia="Times New Roman"/>
              </w:rPr>
            </w:pPr>
            <w:r w:rsidRPr="7C2C6364">
              <w:rPr>
                <w:rFonts w:eastAsia="Times New Roman"/>
              </w:rPr>
              <w:t>40824</w:t>
            </w:r>
          </w:p>
        </w:tc>
        <w:tc>
          <w:tcPr>
            <w:tcW w:w="2764" w:type="dxa"/>
            <w:tcBorders>
              <w:top w:val="nil"/>
              <w:left w:val="nil"/>
              <w:bottom w:val="nil"/>
              <w:right w:val="single" w:sz="8" w:space="0" w:color="auto"/>
            </w:tcBorders>
          </w:tcPr>
          <w:p w14:paraId="5063FB45" w14:textId="49920864" w:rsidR="7C2C6364" w:rsidRDefault="7C2C6364" w:rsidP="00596230">
            <w:pPr>
              <w:ind w:left="-20" w:right="-20"/>
              <w:jc w:val="center"/>
              <w:rPr>
                <w:rFonts w:eastAsia="Times New Roman"/>
              </w:rPr>
            </w:pPr>
            <w:r w:rsidRPr="7C2C6364">
              <w:rPr>
                <w:rFonts w:eastAsia="Times New Roman"/>
              </w:rPr>
              <w:t>n/a</w:t>
            </w:r>
          </w:p>
        </w:tc>
      </w:tr>
      <w:tr w:rsidR="7C2C6364" w14:paraId="6553EB5C" w14:textId="77777777" w:rsidTr="7C2C6364">
        <w:trPr>
          <w:trHeight w:val="300"/>
        </w:trPr>
        <w:tc>
          <w:tcPr>
            <w:tcW w:w="2362" w:type="dxa"/>
            <w:tcBorders>
              <w:top w:val="nil"/>
              <w:left w:val="single" w:sz="8" w:space="0" w:color="auto"/>
              <w:bottom w:val="nil"/>
              <w:right w:val="nil"/>
            </w:tcBorders>
          </w:tcPr>
          <w:p w14:paraId="7F51C9E9" w14:textId="71484710" w:rsidR="7C2C6364" w:rsidRDefault="7C2C6364" w:rsidP="00596230">
            <w:pPr>
              <w:ind w:left="-20" w:right="-20"/>
              <w:rPr>
                <w:rFonts w:eastAsia="Times New Roman"/>
              </w:rPr>
            </w:pPr>
            <w:r w:rsidRPr="7C2C6364">
              <w:rPr>
                <w:rFonts w:eastAsia="Times New Roman"/>
              </w:rPr>
              <w:t>SPS</w:t>
            </w:r>
          </w:p>
        </w:tc>
        <w:tc>
          <w:tcPr>
            <w:tcW w:w="2002" w:type="dxa"/>
            <w:tcBorders>
              <w:top w:val="nil"/>
              <w:left w:val="nil"/>
              <w:bottom w:val="nil"/>
              <w:right w:val="nil"/>
            </w:tcBorders>
          </w:tcPr>
          <w:p w14:paraId="57818C26" w14:textId="1BB34BBC" w:rsidR="7C2C6364" w:rsidRDefault="7C2C6364" w:rsidP="00596230">
            <w:pPr>
              <w:ind w:left="-20" w:right="-20"/>
              <w:rPr>
                <w:rFonts w:eastAsia="Times New Roman"/>
              </w:rPr>
            </w:pPr>
            <w:r w:rsidRPr="7C2C6364">
              <w:rPr>
                <w:rFonts w:eastAsia="Times New Roman"/>
              </w:rPr>
              <w:t>2014</w:t>
            </w:r>
          </w:p>
        </w:tc>
        <w:tc>
          <w:tcPr>
            <w:tcW w:w="2232" w:type="dxa"/>
            <w:tcBorders>
              <w:top w:val="nil"/>
              <w:left w:val="nil"/>
              <w:bottom w:val="nil"/>
              <w:right w:val="nil"/>
            </w:tcBorders>
          </w:tcPr>
          <w:p w14:paraId="28ED7680" w14:textId="19AB09CF" w:rsidR="7C2C6364" w:rsidRDefault="7C2C6364" w:rsidP="00596230">
            <w:pPr>
              <w:ind w:left="-20" w:right="-20"/>
              <w:rPr>
                <w:rFonts w:eastAsia="Times New Roman"/>
              </w:rPr>
            </w:pPr>
            <w:r w:rsidRPr="7C2C6364">
              <w:rPr>
                <w:rFonts w:eastAsia="Times New Roman"/>
              </w:rPr>
              <w:t>42004</w:t>
            </w:r>
          </w:p>
        </w:tc>
        <w:tc>
          <w:tcPr>
            <w:tcW w:w="2764" w:type="dxa"/>
            <w:tcBorders>
              <w:top w:val="nil"/>
              <w:left w:val="nil"/>
              <w:bottom w:val="nil"/>
              <w:right w:val="single" w:sz="8" w:space="0" w:color="auto"/>
            </w:tcBorders>
          </w:tcPr>
          <w:p w14:paraId="009754C0" w14:textId="470B1F33" w:rsidR="7C2C6364" w:rsidRDefault="7C2C6364" w:rsidP="00596230">
            <w:pPr>
              <w:ind w:left="-20" w:right="-20"/>
              <w:jc w:val="center"/>
              <w:rPr>
                <w:rFonts w:eastAsia="Times New Roman"/>
              </w:rPr>
            </w:pPr>
            <w:r w:rsidRPr="7C2C6364">
              <w:rPr>
                <w:rFonts w:eastAsia="Times New Roman"/>
              </w:rPr>
              <w:t>n/a</w:t>
            </w:r>
          </w:p>
        </w:tc>
      </w:tr>
      <w:tr w:rsidR="7C2C6364" w14:paraId="046AC98F" w14:textId="77777777" w:rsidTr="7C2C6364">
        <w:trPr>
          <w:trHeight w:val="300"/>
        </w:trPr>
        <w:tc>
          <w:tcPr>
            <w:tcW w:w="2362" w:type="dxa"/>
            <w:tcBorders>
              <w:top w:val="nil"/>
              <w:left w:val="single" w:sz="8" w:space="0" w:color="auto"/>
              <w:bottom w:val="nil"/>
              <w:right w:val="nil"/>
            </w:tcBorders>
          </w:tcPr>
          <w:p w14:paraId="150D3DF2" w14:textId="4BE37FC1" w:rsidR="7C2C6364" w:rsidRDefault="7C2C6364" w:rsidP="00596230">
            <w:pPr>
              <w:ind w:left="-20" w:right="-20"/>
              <w:rPr>
                <w:rFonts w:eastAsia="Times New Roman"/>
              </w:rPr>
            </w:pPr>
            <w:r w:rsidRPr="7C2C6364">
              <w:rPr>
                <w:rFonts w:eastAsia="Times New Roman"/>
              </w:rPr>
              <w:t>SPS</w:t>
            </w:r>
          </w:p>
        </w:tc>
        <w:tc>
          <w:tcPr>
            <w:tcW w:w="2002" w:type="dxa"/>
            <w:tcBorders>
              <w:top w:val="nil"/>
              <w:left w:val="nil"/>
              <w:bottom w:val="nil"/>
              <w:right w:val="nil"/>
            </w:tcBorders>
          </w:tcPr>
          <w:p w14:paraId="47885E32" w14:textId="29A00AF5" w:rsidR="7C2C6364" w:rsidRDefault="7C2C6364" w:rsidP="00596230">
            <w:pPr>
              <w:ind w:left="-20" w:right="-20"/>
              <w:rPr>
                <w:rFonts w:eastAsia="Times New Roman"/>
              </w:rPr>
            </w:pPr>
            <w:r w:rsidRPr="7C2C6364">
              <w:rPr>
                <w:rFonts w:eastAsia="Times New Roman"/>
              </w:rPr>
              <w:t>2015</w:t>
            </w:r>
          </w:p>
        </w:tc>
        <w:tc>
          <w:tcPr>
            <w:tcW w:w="2232" w:type="dxa"/>
            <w:tcBorders>
              <w:top w:val="nil"/>
              <w:left w:val="nil"/>
              <w:bottom w:val="nil"/>
              <w:right w:val="nil"/>
            </w:tcBorders>
          </w:tcPr>
          <w:p w14:paraId="207E9D69" w14:textId="5E04358B" w:rsidR="7C2C6364" w:rsidRDefault="7C2C6364" w:rsidP="00596230">
            <w:pPr>
              <w:ind w:left="-20" w:right="-20"/>
              <w:rPr>
                <w:rFonts w:eastAsia="Times New Roman"/>
              </w:rPr>
            </w:pPr>
            <w:r w:rsidRPr="7C2C6364">
              <w:rPr>
                <w:rFonts w:eastAsia="Times New Roman"/>
              </w:rPr>
              <w:t>43695</w:t>
            </w:r>
          </w:p>
        </w:tc>
        <w:tc>
          <w:tcPr>
            <w:tcW w:w="2764" w:type="dxa"/>
            <w:tcBorders>
              <w:top w:val="nil"/>
              <w:left w:val="nil"/>
              <w:bottom w:val="nil"/>
              <w:right w:val="single" w:sz="8" w:space="0" w:color="auto"/>
            </w:tcBorders>
          </w:tcPr>
          <w:p w14:paraId="25E3DC98" w14:textId="2228B06E" w:rsidR="7C2C6364" w:rsidRDefault="7C2C6364" w:rsidP="00596230">
            <w:pPr>
              <w:ind w:left="-20" w:right="-20"/>
              <w:jc w:val="center"/>
              <w:rPr>
                <w:rFonts w:eastAsia="Times New Roman"/>
              </w:rPr>
            </w:pPr>
            <w:r w:rsidRPr="7C2C6364">
              <w:rPr>
                <w:rFonts w:eastAsia="Times New Roman"/>
              </w:rPr>
              <w:t>51%</w:t>
            </w:r>
          </w:p>
        </w:tc>
      </w:tr>
      <w:tr w:rsidR="7C2C6364" w14:paraId="75428329" w14:textId="77777777" w:rsidTr="7C2C6364">
        <w:trPr>
          <w:trHeight w:val="300"/>
        </w:trPr>
        <w:tc>
          <w:tcPr>
            <w:tcW w:w="2362" w:type="dxa"/>
            <w:tcBorders>
              <w:top w:val="nil"/>
              <w:left w:val="single" w:sz="8" w:space="0" w:color="auto"/>
              <w:bottom w:val="nil"/>
              <w:right w:val="nil"/>
            </w:tcBorders>
          </w:tcPr>
          <w:p w14:paraId="76B8CF9C" w14:textId="2754C3DE" w:rsidR="7C2C6364" w:rsidRDefault="7C2C6364" w:rsidP="00596230">
            <w:pPr>
              <w:ind w:left="-20" w:right="-20"/>
              <w:rPr>
                <w:rFonts w:eastAsia="Times New Roman"/>
              </w:rPr>
            </w:pPr>
            <w:r w:rsidRPr="7C2C6364">
              <w:rPr>
                <w:rFonts w:eastAsia="Times New Roman"/>
              </w:rPr>
              <w:t>SPS</w:t>
            </w:r>
          </w:p>
        </w:tc>
        <w:tc>
          <w:tcPr>
            <w:tcW w:w="2002" w:type="dxa"/>
            <w:tcBorders>
              <w:top w:val="nil"/>
              <w:left w:val="nil"/>
              <w:bottom w:val="nil"/>
              <w:right w:val="nil"/>
            </w:tcBorders>
          </w:tcPr>
          <w:p w14:paraId="196D3042" w14:textId="6D9DBBA5" w:rsidR="7C2C6364" w:rsidRDefault="7C2C6364" w:rsidP="00596230">
            <w:pPr>
              <w:ind w:left="-20" w:right="-20"/>
              <w:rPr>
                <w:rFonts w:eastAsia="Times New Roman"/>
              </w:rPr>
            </w:pPr>
            <w:r w:rsidRPr="7C2C6364">
              <w:rPr>
                <w:rFonts w:eastAsia="Times New Roman"/>
              </w:rPr>
              <w:t>2017</w:t>
            </w:r>
          </w:p>
        </w:tc>
        <w:tc>
          <w:tcPr>
            <w:tcW w:w="2232" w:type="dxa"/>
            <w:tcBorders>
              <w:top w:val="nil"/>
              <w:left w:val="nil"/>
              <w:bottom w:val="nil"/>
              <w:right w:val="nil"/>
            </w:tcBorders>
          </w:tcPr>
          <w:p w14:paraId="00D566AB" w14:textId="103E7319" w:rsidR="7C2C6364" w:rsidRDefault="7C2C6364" w:rsidP="00596230">
            <w:pPr>
              <w:ind w:left="-20" w:right="-20"/>
              <w:rPr>
                <w:rFonts w:eastAsia="Times New Roman"/>
              </w:rPr>
            </w:pPr>
            <w:r w:rsidRPr="7C2C6364">
              <w:rPr>
                <w:rFonts w:eastAsia="Times New Roman"/>
              </w:rPr>
              <w:t>45524</w:t>
            </w:r>
          </w:p>
        </w:tc>
        <w:tc>
          <w:tcPr>
            <w:tcW w:w="2764" w:type="dxa"/>
            <w:tcBorders>
              <w:top w:val="nil"/>
              <w:left w:val="nil"/>
              <w:bottom w:val="nil"/>
              <w:right w:val="single" w:sz="8" w:space="0" w:color="auto"/>
            </w:tcBorders>
          </w:tcPr>
          <w:p w14:paraId="3A58BDB1" w14:textId="7CD62840" w:rsidR="7C2C6364" w:rsidRDefault="7C2C6364" w:rsidP="00596230">
            <w:pPr>
              <w:ind w:left="-20" w:right="-20"/>
              <w:jc w:val="center"/>
              <w:rPr>
                <w:rFonts w:eastAsia="Times New Roman"/>
              </w:rPr>
            </w:pPr>
            <w:r w:rsidRPr="7C2C6364">
              <w:rPr>
                <w:rFonts w:eastAsia="Times New Roman"/>
              </w:rPr>
              <w:t>n/a</w:t>
            </w:r>
          </w:p>
        </w:tc>
      </w:tr>
      <w:tr w:rsidR="7C2C6364" w14:paraId="04674786" w14:textId="77777777" w:rsidTr="7C2C6364">
        <w:trPr>
          <w:trHeight w:val="300"/>
        </w:trPr>
        <w:tc>
          <w:tcPr>
            <w:tcW w:w="2362" w:type="dxa"/>
            <w:tcBorders>
              <w:top w:val="nil"/>
              <w:left w:val="single" w:sz="8" w:space="0" w:color="auto"/>
              <w:bottom w:val="nil"/>
              <w:right w:val="nil"/>
            </w:tcBorders>
          </w:tcPr>
          <w:p w14:paraId="70E11834" w14:textId="0B633FD5" w:rsidR="7C2C6364" w:rsidRDefault="7C2C6364" w:rsidP="00596230">
            <w:pPr>
              <w:ind w:left="-20" w:right="-20"/>
              <w:rPr>
                <w:rFonts w:eastAsia="Times New Roman"/>
              </w:rPr>
            </w:pPr>
            <w:r w:rsidRPr="7C2C6364">
              <w:rPr>
                <w:rFonts w:eastAsia="Times New Roman"/>
              </w:rPr>
              <w:t>SPS</w:t>
            </w:r>
          </w:p>
        </w:tc>
        <w:tc>
          <w:tcPr>
            <w:tcW w:w="2002" w:type="dxa"/>
            <w:tcBorders>
              <w:top w:val="nil"/>
              <w:left w:val="nil"/>
              <w:bottom w:val="nil"/>
              <w:right w:val="nil"/>
            </w:tcBorders>
          </w:tcPr>
          <w:p w14:paraId="6A055971" w14:textId="4CC97C02" w:rsidR="7C2C6364" w:rsidRDefault="7C2C6364" w:rsidP="00596230">
            <w:pPr>
              <w:ind w:left="-20" w:right="-20"/>
              <w:rPr>
                <w:rFonts w:eastAsia="Times New Roman"/>
              </w:rPr>
            </w:pPr>
            <w:r w:rsidRPr="7C2C6364">
              <w:rPr>
                <w:rFonts w:eastAsia="Times New Roman"/>
              </w:rPr>
              <w:t>2018</w:t>
            </w:r>
          </w:p>
        </w:tc>
        <w:tc>
          <w:tcPr>
            <w:tcW w:w="2232" w:type="dxa"/>
            <w:tcBorders>
              <w:top w:val="nil"/>
              <w:left w:val="nil"/>
              <w:bottom w:val="nil"/>
              <w:right w:val="nil"/>
            </w:tcBorders>
          </w:tcPr>
          <w:p w14:paraId="11EEA315" w14:textId="4B4483A4" w:rsidR="7C2C6364" w:rsidRDefault="7C2C6364" w:rsidP="00596230">
            <w:pPr>
              <w:ind w:left="-20" w:right="-20"/>
              <w:rPr>
                <w:rFonts w:eastAsia="Times New Roman"/>
              </w:rPr>
            </w:pPr>
            <w:r w:rsidRPr="7C2C6364">
              <w:rPr>
                <w:rFonts w:eastAsia="Times New Roman"/>
              </w:rPr>
              <w:t>47527</w:t>
            </w:r>
          </w:p>
        </w:tc>
        <w:tc>
          <w:tcPr>
            <w:tcW w:w="2764" w:type="dxa"/>
            <w:tcBorders>
              <w:top w:val="nil"/>
              <w:left w:val="nil"/>
              <w:bottom w:val="nil"/>
              <w:right w:val="single" w:sz="8" w:space="0" w:color="auto"/>
            </w:tcBorders>
          </w:tcPr>
          <w:p w14:paraId="584CA6EB" w14:textId="7919CE66" w:rsidR="7C2C6364" w:rsidRDefault="7C2C6364" w:rsidP="00596230">
            <w:pPr>
              <w:ind w:left="-20" w:right="-20"/>
              <w:jc w:val="center"/>
              <w:rPr>
                <w:rFonts w:eastAsia="Times New Roman"/>
              </w:rPr>
            </w:pPr>
            <w:r w:rsidRPr="7C2C6364">
              <w:rPr>
                <w:rFonts w:eastAsia="Times New Roman"/>
              </w:rPr>
              <w:t>n/a</w:t>
            </w:r>
          </w:p>
        </w:tc>
      </w:tr>
      <w:tr w:rsidR="7C2C6364" w14:paraId="25BC049B" w14:textId="77777777" w:rsidTr="7C2C6364">
        <w:trPr>
          <w:trHeight w:val="300"/>
        </w:trPr>
        <w:tc>
          <w:tcPr>
            <w:tcW w:w="2362" w:type="dxa"/>
            <w:tcBorders>
              <w:top w:val="nil"/>
              <w:left w:val="single" w:sz="8" w:space="0" w:color="auto"/>
              <w:bottom w:val="nil"/>
              <w:right w:val="nil"/>
            </w:tcBorders>
          </w:tcPr>
          <w:p w14:paraId="25B618C8" w14:textId="7F95E0F8" w:rsidR="7C2C6364" w:rsidRDefault="7C2C6364" w:rsidP="00596230">
            <w:pPr>
              <w:ind w:left="-20" w:right="-20"/>
              <w:rPr>
                <w:rFonts w:eastAsia="Times New Roman"/>
              </w:rPr>
            </w:pPr>
            <w:r w:rsidRPr="7C2C6364">
              <w:rPr>
                <w:rFonts w:eastAsia="Times New Roman"/>
              </w:rPr>
              <w:t>SPS</w:t>
            </w:r>
          </w:p>
        </w:tc>
        <w:tc>
          <w:tcPr>
            <w:tcW w:w="2002" w:type="dxa"/>
            <w:tcBorders>
              <w:top w:val="nil"/>
              <w:left w:val="nil"/>
              <w:bottom w:val="nil"/>
              <w:right w:val="nil"/>
            </w:tcBorders>
          </w:tcPr>
          <w:p w14:paraId="3178732D" w14:textId="35D31DD3" w:rsidR="7C2C6364" w:rsidRDefault="7C2C6364" w:rsidP="00596230">
            <w:pPr>
              <w:ind w:left="-20" w:right="-20"/>
              <w:rPr>
                <w:rFonts w:eastAsia="Times New Roman"/>
              </w:rPr>
            </w:pPr>
            <w:r w:rsidRPr="7C2C6364">
              <w:rPr>
                <w:rFonts w:eastAsia="Times New Roman"/>
              </w:rPr>
              <w:t>2020</w:t>
            </w:r>
          </w:p>
        </w:tc>
        <w:tc>
          <w:tcPr>
            <w:tcW w:w="2232" w:type="dxa"/>
            <w:tcBorders>
              <w:top w:val="nil"/>
              <w:left w:val="nil"/>
              <w:bottom w:val="nil"/>
              <w:right w:val="nil"/>
            </w:tcBorders>
          </w:tcPr>
          <w:p w14:paraId="48BDCFEA" w14:textId="2EDBB9C2" w:rsidR="7C2C6364" w:rsidRDefault="7C2C6364" w:rsidP="00596230">
            <w:pPr>
              <w:ind w:left="-20" w:right="-20"/>
              <w:rPr>
                <w:rFonts w:eastAsia="Times New Roman"/>
              </w:rPr>
            </w:pPr>
            <w:r w:rsidRPr="7C2C6364">
              <w:rPr>
                <w:rFonts w:eastAsia="Times New Roman"/>
              </w:rPr>
              <w:t>49831</w:t>
            </w:r>
          </w:p>
        </w:tc>
        <w:tc>
          <w:tcPr>
            <w:tcW w:w="2764" w:type="dxa"/>
            <w:tcBorders>
              <w:top w:val="nil"/>
              <w:left w:val="nil"/>
              <w:bottom w:val="nil"/>
              <w:right w:val="single" w:sz="8" w:space="0" w:color="auto"/>
            </w:tcBorders>
          </w:tcPr>
          <w:p w14:paraId="65595CA1" w14:textId="29BE128D" w:rsidR="7C2C6364" w:rsidRDefault="7C2C6364" w:rsidP="00596230">
            <w:pPr>
              <w:ind w:left="-20" w:right="-20"/>
              <w:jc w:val="center"/>
              <w:rPr>
                <w:rFonts w:eastAsia="Times New Roman"/>
              </w:rPr>
            </w:pPr>
            <w:r w:rsidRPr="7C2C6364">
              <w:rPr>
                <w:rFonts w:eastAsia="Times New Roman"/>
              </w:rPr>
              <w:t>54.62%</w:t>
            </w:r>
          </w:p>
        </w:tc>
      </w:tr>
      <w:tr w:rsidR="008A752B" w14:paraId="0D19BCFD" w14:textId="77777777" w:rsidTr="7C2C6364">
        <w:trPr>
          <w:trHeight w:val="300"/>
        </w:trPr>
        <w:tc>
          <w:tcPr>
            <w:tcW w:w="2362" w:type="dxa"/>
            <w:tcBorders>
              <w:top w:val="nil"/>
              <w:left w:val="single" w:sz="8" w:space="0" w:color="auto"/>
              <w:bottom w:val="nil"/>
              <w:right w:val="nil"/>
            </w:tcBorders>
          </w:tcPr>
          <w:p w14:paraId="54250CE0" w14:textId="62DEEC9C" w:rsidR="008A752B" w:rsidRPr="7C2C6364" w:rsidRDefault="008A752B" w:rsidP="00596230">
            <w:pPr>
              <w:ind w:left="-20" w:right="-20"/>
              <w:rPr>
                <w:rFonts w:eastAsia="Times New Roman"/>
              </w:rPr>
            </w:pPr>
            <w:r>
              <w:rPr>
                <w:rFonts w:eastAsia="Times New Roman"/>
              </w:rPr>
              <w:t>SPS</w:t>
            </w:r>
          </w:p>
        </w:tc>
        <w:tc>
          <w:tcPr>
            <w:tcW w:w="2002" w:type="dxa"/>
            <w:tcBorders>
              <w:top w:val="nil"/>
              <w:left w:val="nil"/>
              <w:bottom w:val="nil"/>
              <w:right w:val="nil"/>
            </w:tcBorders>
          </w:tcPr>
          <w:p w14:paraId="2C6BD501" w14:textId="72B05FD5" w:rsidR="008A752B" w:rsidRPr="7C2C6364" w:rsidRDefault="008B2544" w:rsidP="00596230">
            <w:pPr>
              <w:ind w:left="-20" w:right="-20"/>
              <w:rPr>
                <w:rFonts w:eastAsia="Times New Roman"/>
              </w:rPr>
            </w:pPr>
            <w:r>
              <w:rPr>
                <w:rFonts w:eastAsia="Times New Roman"/>
              </w:rPr>
              <w:t>2022</w:t>
            </w:r>
          </w:p>
        </w:tc>
        <w:tc>
          <w:tcPr>
            <w:tcW w:w="2232" w:type="dxa"/>
            <w:tcBorders>
              <w:top w:val="nil"/>
              <w:left w:val="nil"/>
              <w:bottom w:val="nil"/>
              <w:right w:val="nil"/>
            </w:tcBorders>
          </w:tcPr>
          <w:p w14:paraId="3FD742DB" w14:textId="135A296F" w:rsidR="008A752B" w:rsidRPr="7C2C6364" w:rsidRDefault="00E9102E" w:rsidP="00596230">
            <w:pPr>
              <w:ind w:left="-20" w:right="-20"/>
              <w:rPr>
                <w:rFonts w:eastAsia="Times New Roman"/>
              </w:rPr>
            </w:pPr>
            <w:r>
              <w:rPr>
                <w:rFonts w:eastAsia="Times New Roman"/>
              </w:rPr>
              <w:t>51802</w:t>
            </w:r>
          </w:p>
        </w:tc>
        <w:tc>
          <w:tcPr>
            <w:tcW w:w="2764" w:type="dxa"/>
            <w:tcBorders>
              <w:top w:val="nil"/>
              <w:left w:val="nil"/>
              <w:bottom w:val="nil"/>
              <w:right w:val="single" w:sz="8" w:space="0" w:color="auto"/>
            </w:tcBorders>
          </w:tcPr>
          <w:p w14:paraId="402CADF1" w14:textId="665E8A68" w:rsidR="008A752B" w:rsidRPr="7C2C6364" w:rsidRDefault="00981330" w:rsidP="00596230">
            <w:pPr>
              <w:ind w:left="-20" w:right="-20"/>
              <w:jc w:val="center"/>
              <w:rPr>
                <w:rFonts w:eastAsia="Times New Roman"/>
              </w:rPr>
            </w:pPr>
            <w:r>
              <w:rPr>
                <w:rFonts w:eastAsia="Times New Roman"/>
              </w:rPr>
              <w:t>n/a</w:t>
            </w:r>
          </w:p>
        </w:tc>
      </w:tr>
      <w:tr w:rsidR="7C2C6364" w14:paraId="4292A0C7" w14:textId="77777777" w:rsidTr="7C2C6364">
        <w:trPr>
          <w:trHeight w:val="300"/>
        </w:trPr>
        <w:tc>
          <w:tcPr>
            <w:tcW w:w="2362" w:type="dxa"/>
            <w:tcBorders>
              <w:top w:val="nil"/>
              <w:left w:val="single" w:sz="8" w:space="0" w:color="auto"/>
              <w:bottom w:val="nil"/>
              <w:right w:val="nil"/>
            </w:tcBorders>
          </w:tcPr>
          <w:p w14:paraId="7A8D98F2" w14:textId="3F1022DD" w:rsidR="7C2C6364" w:rsidRDefault="7C2C6364" w:rsidP="00596230">
            <w:pPr>
              <w:ind w:left="-20" w:right="-20"/>
              <w:rPr>
                <w:rFonts w:eastAsia="Times New Roman"/>
              </w:rPr>
            </w:pPr>
            <w:r w:rsidRPr="7C2C6364">
              <w:rPr>
                <w:rFonts w:eastAsia="Times New Roman"/>
              </w:rPr>
              <w:t>SPS</w:t>
            </w:r>
          </w:p>
        </w:tc>
        <w:tc>
          <w:tcPr>
            <w:tcW w:w="2002" w:type="dxa"/>
            <w:tcBorders>
              <w:top w:val="nil"/>
              <w:left w:val="nil"/>
              <w:bottom w:val="nil"/>
              <w:right w:val="nil"/>
            </w:tcBorders>
          </w:tcPr>
          <w:p w14:paraId="03FEEA31" w14:textId="1437BDDC" w:rsidR="7C2C6364" w:rsidRDefault="7C2C6364" w:rsidP="00596230">
            <w:pPr>
              <w:ind w:left="-20" w:right="-20"/>
              <w:rPr>
                <w:rFonts w:eastAsia="Times New Roman"/>
              </w:rPr>
            </w:pPr>
            <w:r w:rsidRPr="7C2C6364">
              <w:rPr>
                <w:rFonts w:eastAsia="Times New Roman"/>
              </w:rPr>
              <w:t>Pending</w:t>
            </w:r>
          </w:p>
        </w:tc>
        <w:tc>
          <w:tcPr>
            <w:tcW w:w="2232" w:type="dxa"/>
            <w:tcBorders>
              <w:top w:val="nil"/>
              <w:left w:val="nil"/>
              <w:bottom w:val="nil"/>
              <w:right w:val="nil"/>
            </w:tcBorders>
          </w:tcPr>
          <w:p w14:paraId="33EC71F2" w14:textId="60A5FDEC" w:rsidR="7C2C6364" w:rsidRDefault="7C2C6364" w:rsidP="00596230">
            <w:pPr>
              <w:ind w:left="-20" w:right="-20"/>
              <w:rPr>
                <w:rFonts w:eastAsia="Times New Roman"/>
              </w:rPr>
            </w:pPr>
            <w:r w:rsidRPr="7C2C6364">
              <w:rPr>
                <w:rFonts w:eastAsia="Times New Roman"/>
              </w:rPr>
              <w:t>54634</w:t>
            </w:r>
          </w:p>
        </w:tc>
        <w:tc>
          <w:tcPr>
            <w:tcW w:w="2764" w:type="dxa"/>
            <w:tcBorders>
              <w:top w:val="nil"/>
              <w:left w:val="nil"/>
              <w:bottom w:val="nil"/>
              <w:right w:val="single" w:sz="8" w:space="0" w:color="auto"/>
            </w:tcBorders>
          </w:tcPr>
          <w:p w14:paraId="48ABEEB9" w14:textId="2D280D3C" w:rsidR="7C2C6364" w:rsidRDefault="7C2C6364" w:rsidP="00596230">
            <w:pPr>
              <w:ind w:left="-20" w:right="-20"/>
              <w:jc w:val="center"/>
              <w:rPr>
                <w:rFonts w:eastAsia="Times New Roman"/>
              </w:rPr>
            </w:pPr>
            <w:r w:rsidRPr="7C2C6364">
              <w:rPr>
                <w:rFonts w:eastAsia="Times New Roman"/>
              </w:rPr>
              <w:t xml:space="preserve"> </w:t>
            </w:r>
          </w:p>
        </w:tc>
      </w:tr>
      <w:tr w:rsidR="7C2C6364" w14:paraId="4C638557" w14:textId="77777777" w:rsidTr="7C2C6364">
        <w:trPr>
          <w:trHeight w:val="300"/>
        </w:trPr>
        <w:tc>
          <w:tcPr>
            <w:tcW w:w="2362" w:type="dxa"/>
            <w:tcBorders>
              <w:top w:val="nil"/>
              <w:left w:val="single" w:sz="8" w:space="0" w:color="auto"/>
              <w:bottom w:val="nil"/>
              <w:right w:val="nil"/>
            </w:tcBorders>
          </w:tcPr>
          <w:p w14:paraId="7BFB8770" w14:textId="6343B151" w:rsidR="7C2C6364" w:rsidRDefault="7C2C6364" w:rsidP="00596230">
            <w:pPr>
              <w:ind w:left="-20" w:right="-20"/>
              <w:rPr>
                <w:rFonts w:eastAsia="Times New Roman"/>
              </w:rPr>
            </w:pPr>
            <w:r w:rsidRPr="7C2C6364">
              <w:rPr>
                <w:rFonts w:eastAsia="Times New Roman"/>
              </w:rPr>
              <w:t>SWEPCO</w:t>
            </w:r>
          </w:p>
        </w:tc>
        <w:tc>
          <w:tcPr>
            <w:tcW w:w="2002" w:type="dxa"/>
            <w:tcBorders>
              <w:top w:val="nil"/>
              <w:left w:val="nil"/>
              <w:bottom w:val="nil"/>
              <w:right w:val="nil"/>
            </w:tcBorders>
          </w:tcPr>
          <w:p w14:paraId="23B3A747" w14:textId="13AACC8A" w:rsidR="7C2C6364" w:rsidRDefault="7C2C6364" w:rsidP="00596230">
            <w:pPr>
              <w:ind w:left="-20" w:right="-20"/>
              <w:rPr>
                <w:rFonts w:eastAsia="Times New Roman"/>
              </w:rPr>
            </w:pPr>
            <w:r w:rsidRPr="7C2C6364">
              <w:rPr>
                <w:rFonts w:eastAsia="Times New Roman"/>
              </w:rPr>
              <w:t>2010</w:t>
            </w:r>
          </w:p>
        </w:tc>
        <w:tc>
          <w:tcPr>
            <w:tcW w:w="2232" w:type="dxa"/>
            <w:tcBorders>
              <w:top w:val="nil"/>
              <w:left w:val="nil"/>
              <w:bottom w:val="nil"/>
              <w:right w:val="nil"/>
            </w:tcBorders>
          </w:tcPr>
          <w:p w14:paraId="3724D814" w14:textId="568C3346" w:rsidR="7C2C6364" w:rsidRDefault="7C2C6364" w:rsidP="00596230">
            <w:pPr>
              <w:ind w:left="-20" w:right="-20"/>
              <w:rPr>
                <w:rFonts w:eastAsia="Times New Roman"/>
              </w:rPr>
            </w:pPr>
            <w:r w:rsidRPr="7C2C6364">
              <w:rPr>
                <w:rFonts w:eastAsia="Times New Roman"/>
              </w:rPr>
              <w:t>37364</w:t>
            </w:r>
          </w:p>
        </w:tc>
        <w:tc>
          <w:tcPr>
            <w:tcW w:w="2764" w:type="dxa"/>
            <w:tcBorders>
              <w:top w:val="nil"/>
              <w:left w:val="nil"/>
              <w:bottom w:val="nil"/>
              <w:right w:val="single" w:sz="8" w:space="0" w:color="auto"/>
            </w:tcBorders>
          </w:tcPr>
          <w:p w14:paraId="200C4307" w14:textId="42A006AD" w:rsidR="7C2C6364" w:rsidRDefault="7C2C6364" w:rsidP="00596230">
            <w:pPr>
              <w:ind w:left="-20" w:right="-20"/>
              <w:jc w:val="center"/>
              <w:rPr>
                <w:rFonts w:eastAsia="Times New Roman"/>
              </w:rPr>
            </w:pPr>
            <w:r w:rsidRPr="7C2C6364">
              <w:rPr>
                <w:rFonts w:eastAsia="Times New Roman"/>
              </w:rPr>
              <w:t>n/a</w:t>
            </w:r>
          </w:p>
        </w:tc>
      </w:tr>
      <w:tr w:rsidR="7C2C6364" w14:paraId="0E4C4D02" w14:textId="77777777" w:rsidTr="7C2C6364">
        <w:trPr>
          <w:trHeight w:val="300"/>
        </w:trPr>
        <w:tc>
          <w:tcPr>
            <w:tcW w:w="2362" w:type="dxa"/>
            <w:tcBorders>
              <w:top w:val="nil"/>
              <w:left w:val="single" w:sz="8" w:space="0" w:color="auto"/>
              <w:bottom w:val="nil"/>
              <w:right w:val="nil"/>
            </w:tcBorders>
          </w:tcPr>
          <w:p w14:paraId="0476752F" w14:textId="7359D348" w:rsidR="7C2C6364" w:rsidRDefault="7C2C6364" w:rsidP="00596230">
            <w:pPr>
              <w:ind w:left="-20" w:right="-20"/>
              <w:rPr>
                <w:rFonts w:eastAsia="Times New Roman"/>
              </w:rPr>
            </w:pPr>
            <w:r w:rsidRPr="7C2C6364">
              <w:rPr>
                <w:rFonts w:eastAsia="Times New Roman"/>
              </w:rPr>
              <w:t>SWEPCO</w:t>
            </w:r>
          </w:p>
        </w:tc>
        <w:tc>
          <w:tcPr>
            <w:tcW w:w="2002" w:type="dxa"/>
            <w:tcBorders>
              <w:top w:val="nil"/>
              <w:left w:val="nil"/>
              <w:bottom w:val="nil"/>
              <w:right w:val="nil"/>
            </w:tcBorders>
          </w:tcPr>
          <w:p w14:paraId="2EF6977E" w14:textId="7004A6DD" w:rsidR="7C2C6364" w:rsidRDefault="7C2C6364" w:rsidP="00596230">
            <w:pPr>
              <w:ind w:left="-20" w:right="-20"/>
              <w:rPr>
                <w:rFonts w:eastAsia="Times New Roman"/>
              </w:rPr>
            </w:pPr>
            <w:r w:rsidRPr="7C2C6364">
              <w:rPr>
                <w:rFonts w:eastAsia="Times New Roman"/>
              </w:rPr>
              <w:t>2013</w:t>
            </w:r>
          </w:p>
        </w:tc>
        <w:tc>
          <w:tcPr>
            <w:tcW w:w="2232" w:type="dxa"/>
            <w:tcBorders>
              <w:top w:val="nil"/>
              <w:left w:val="nil"/>
              <w:bottom w:val="nil"/>
              <w:right w:val="nil"/>
            </w:tcBorders>
          </w:tcPr>
          <w:p w14:paraId="1E388B17" w14:textId="579B5829" w:rsidR="7C2C6364" w:rsidRDefault="7C2C6364" w:rsidP="00596230">
            <w:pPr>
              <w:ind w:left="-20" w:right="-20"/>
              <w:rPr>
                <w:rFonts w:eastAsia="Times New Roman"/>
              </w:rPr>
            </w:pPr>
            <w:r w:rsidRPr="7C2C6364">
              <w:rPr>
                <w:rFonts w:eastAsia="Times New Roman"/>
              </w:rPr>
              <w:t>40443</w:t>
            </w:r>
          </w:p>
        </w:tc>
        <w:tc>
          <w:tcPr>
            <w:tcW w:w="2764" w:type="dxa"/>
            <w:tcBorders>
              <w:top w:val="nil"/>
              <w:left w:val="nil"/>
              <w:bottom w:val="nil"/>
              <w:right w:val="single" w:sz="8" w:space="0" w:color="auto"/>
            </w:tcBorders>
          </w:tcPr>
          <w:p w14:paraId="520B82E0" w14:textId="4310F965" w:rsidR="7C2C6364" w:rsidRDefault="7C2C6364" w:rsidP="00596230">
            <w:pPr>
              <w:ind w:left="-20" w:right="-20"/>
              <w:jc w:val="center"/>
              <w:rPr>
                <w:rFonts w:eastAsia="Times New Roman"/>
              </w:rPr>
            </w:pPr>
            <w:r w:rsidRPr="7C2C6364">
              <w:rPr>
                <w:rFonts w:eastAsia="Times New Roman"/>
              </w:rPr>
              <w:t>49.1%</w:t>
            </w:r>
          </w:p>
        </w:tc>
      </w:tr>
      <w:tr w:rsidR="7C2C6364" w14:paraId="78D2CD76" w14:textId="77777777" w:rsidTr="7C2C6364">
        <w:trPr>
          <w:trHeight w:val="300"/>
        </w:trPr>
        <w:tc>
          <w:tcPr>
            <w:tcW w:w="2362" w:type="dxa"/>
            <w:tcBorders>
              <w:top w:val="nil"/>
              <w:left w:val="single" w:sz="8" w:space="0" w:color="auto"/>
              <w:bottom w:val="nil"/>
              <w:right w:val="nil"/>
            </w:tcBorders>
          </w:tcPr>
          <w:p w14:paraId="21CDF63B" w14:textId="38899EA8" w:rsidR="7C2C6364" w:rsidRDefault="7C2C6364" w:rsidP="00596230">
            <w:pPr>
              <w:ind w:left="-20" w:right="-20"/>
              <w:rPr>
                <w:rFonts w:eastAsia="Times New Roman"/>
              </w:rPr>
            </w:pPr>
            <w:r w:rsidRPr="7C2C6364">
              <w:rPr>
                <w:rFonts w:eastAsia="Times New Roman"/>
              </w:rPr>
              <w:t>SWEPCO</w:t>
            </w:r>
          </w:p>
        </w:tc>
        <w:tc>
          <w:tcPr>
            <w:tcW w:w="2002" w:type="dxa"/>
            <w:tcBorders>
              <w:top w:val="nil"/>
              <w:left w:val="nil"/>
              <w:bottom w:val="nil"/>
              <w:right w:val="nil"/>
            </w:tcBorders>
          </w:tcPr>
          <w:p w14:paraId="3A372B1F" w14:textId="35382417" w:rsidR="7C2C6364" w:rsidRDefault="7C2C6364" w:rsidP="00596230">
            <w:pPr>
              <w:ind w:left="-20" w:right="-20"/>
              <w:rPr>
                <w:rFonts w:eastAsia="Times New Roman"/>
              </w:rPr>
            </w:pPr>
            <w:r w:rsidRPr="7C2C6364">
              <w:rPr>
                <w:rFonts w:eastAsia="Times New Roman"/>
              </w:rPr>
              <w:t>2018</w:t>
            </w:r>
          </w:p>
        </w:tc>
        <w:tc>
          <w:tcPr>
            <w:tcW w:w="2232" w:type="dxa"/>
            <w:tcBorders>
              <w:top w:val="nil"/>
              <w:left w:val="nil"/>
              <w:bottom w:val="nil"/>
              <w:right w:val="nil"/>
            </w:tcBorders>
          </w:tcPr>
          <w:p w14:paraId="2625CBE5" w14:textId="14485EDA" w:rsidR="7C2C6364" w:rsidRDefault="7C2C6364" w:rsidP="00596230">
            <w:pPr>
              <w:ind w:left="-20" w:right="-20"/>
              <w:rPr>
                <w:rFonts w:eastAsia="Times New Roman"/>
              </w:rPr>
            </w:pPr>
            <w:r w:rsidRPr="7C2C6364">
              <w:rPr>
                <w:rFonts w:eastAsia="Times New Roman"/>
              </w:rPr>
              <w:t>46449</w:t>
            </w:r>
          </w:p>
        </w:tc>
        <w:tc>
          <w:tcPr>
            <w:tcW w:w="2764" w:type="dxa"/>
            <w:tcBorders>
              <w:top w:val="nil"/>
              <w:left w:val="nil"/>
              <w:bottom w:val="nil"/>
              <w:right w:val="single" w:sz="8" w:space="0" w:color="auto"/>
            </w:tcBorders>
          </w:tcPr>
          <w:p w14:paraId="13D95BCC" w14:textId="7E222494" w:rsidR="7C2C6364" w:rsidRDefault="7C2C6364" w:rsidP="00596230">
            <w:pPr>
              <w:ind w:left="-20" w:right="-20"/>
              <w:jc w:val="center"/>
              <w:rPr>
                <w:rFonts w:eastAsia="Times New Roman"/>
              </w:rPr>
            </w:pPr>
            <w:r w:rsidRPr="7C2C6364">
              <w:rPr>
                <w:rFonts w:eastAsia="Times New Roman"/>
              </w:rPr>
              <w:t>48.46%</w:t>
            </w:r>
          </w:p>
        </w:tc>
      </w:tr>
      <w:tr w:rsidR="7C2C6364" w14:paraId="6840C03D" w14:textId="77777777" w:rsidTr="7C2C6364">
        <w:trPr>
          <w:trHeight w:val="300"/>
        </w:trPr>
        <w:tc>
          <w:tcPr>
            <w:tcW w:w="2362" w:type="dxa"/>
            <w:tcBorders>
              <w:top w:val="nil"/>
              <w:left w:val="single" w:sz="8" w:space="0" w:color="auto"/>
              <w:bottom w:val="single" w:sz="8" w:space="0" w:color="auto"/>
              <w:right w:val="nil"/>
            </w:tcBorders>
          </w:tcPr>
          <w:p w14:paraId="4164D9AE" w14:textId="611D04C2" w:rsidR="7C2C6364" w:rsidRDefault="7C2C6364" w:rsidP="00596230">
            <w:pPr>
              <w:ind w:left="-20" w:right="-20"/>
              <w:rPr>
                <w:rFonts w:eastAsia="Times New Roman"/>
              </w:rPr>
            </w:pPr>
            <w:r w:rsidRPr="7C2C6364">
              <w:rPr>
                <w:rFonts w:eastAsia="Times New Roman"/>
              </w:rPr>
              <w:t>SWEPCO</w:t>
            </w:r>
          </w:p>
        </w:tc>
        <w:tc>
          <w:tcPr>
            <w:tcW w:w="2002" w:type="dxa"/>
            <w:tcBorders>
              <w:top w:val="nil"/>
              <w:left w:val="nil"/>
              <w:bottom w:val="single" w:sz="8" w:space="0" w:color="auto"/>
              <w:right w:val="nil"/>
            </w:tcBorders>
          </w:tcPr>
          <w:p w14:paraId="471C62FB" w14:textId="08211EF5" w:rsidR="7C2C6364" w:rsidRDefault="7C2C6364" w:rsidP="00596230">
            <w:pPr>
              <w:ind w:left="-20" w:right="-20"/>
              <w:rPr>
                <w:rFonts w:eastAsia="Times New Roman"/>
              </w:rPr>
            </w:pPr>
            <w:r w:rsidRPr="7C2C6364">
              <w:rPr>
                <w:rFonts w:eastAsia="Times New Roman"/>
              </w:rPr>
              <w:t>2022</w:t>
            </w:r>
          </w:p>
        </w:tc>
        <w:tc>
          <w:tcPr>
            <w:tcW w:w="2232" w:type="dxa"/>
            <w:tcBorders>
              <w:top w:val="nil"/>
              <w:left w:val="nil"/>
              <w:bottom w:val="single" w:sz="8" w:space="0" w:color="auto"/>
              <w:right w:val="nil"/>
            </w:tcBorders>
          </w:tcPr>
          <w:p w14:paraId="1158FF8F" w14:textId="71E9BF1C" w:rsidR="7C2C6364" w:rsidRDefault="7C2C6364" w:rsidP="00596230">
            <w:pPr>
              <w:ind w:left="-20" w:right="-20"/>
              <w:rPr>
                <w:rFonts w:eastAsia="Times New Roman"/>
              </w:rPr>
            </w:pPr>
            <w:r w:rsidRPr="7C2C6364">
              <w:rPr>
                <w:rFonts w:eastAsia="Times New Roman"/>
              </w:rPr>
              <w:t>51415</w:t>
            </w:r>
          </w:p>
        </w:tc>
        <w:tc>
          <w:tcPr>
            <w:tcW w:w="2764" w:type="dxa"/>
            <w:tcBorders>
              <w:top w:val="nil"/>
              <w:left w:val="nil"/>
              <w:bottom w:val="single" w:sz="8" w:space="0" w:color="auto"/>
              <w:right w:val="single" w:sz="8" w:space="0" w:color="auto"/>
            </w:tcBorders>
          </w:tcPr>
          <w:p w14:paraId="714256E4" w14:textId="6F02FCD7" w:rsidR="7C2C6364" w:rsidRDefault="7C2C6364" w:rsidP="00596230">
            <w:pPr>
              <w:ind w:left="-20" w:right="-20"/>
              <w:jc w:val="center"/>
              <w:rPr>
                <w:rFonts w:eastAsia="Times New Roman"/>
              </w:rPr>
            </w:pPr>
            <w:r w:rsidRPr="7C2C6364">
              <w:rPr>
                <w:rFonts w:eastAsia="Times New Roman"/>
              </w:rPr>
              <w:t>49.37%</w:t>
            </w:r>
          </w:p>
        </w:tc>
      </w:tr>
    </w:tbl>
    <w:p w14:paraId="7D7E0339" w14:textId="358DEF8B" w:rsidR="7C2C6364" w:rsidRDefault="7C2C6364" w:rsidP="00D93CC6"/>
    <w:p w14:paraId="61B98F4B" w14:textId="424ECA8D" w:rsidR="440733D2" w:rsidRDefault="440733D2" w:rsidP="00D93CC6"/>
    <w:p w14:paraId="0D92DB47" w14:textId="71FE26E2" w:rsidR="00130777" w:rsidRPr="00225592" w:rsidRDefault="00130777" w:rsidP="00225592">
      <w:pPr>
        <w:spacing w:line="480" w:lineRule="auto"/>
        <w:ind w:left="720" w:hanging="720"/>
        <w:rPr>
          <w:b/>
          <w:bCs/>
        </w:rPr>
      </w:pPr>
      <w:r w:rsidRPr="00225592">
        <w:rPr>
          <w:b/>
          <w:bCs/>
        </w:rPr>
        <w:t xml:space="preserve">Q.  </w:t>
      </w:r>
      <w:r w:rsidRPr="00225592">
        <w:rPr>
          <w:b/>
          <w:bCs/>
        </w:rPr>
        <w:tab/>
      </w:r>
      <w:r w:rsidR="00F36AF7" w:rsidRPr="00225592">
        <w:rPr>
          <w:b/>
          <w:bCs/>
        </w:rPr>
        <w:t xml:space="preserve">DO OTHER </w:t>
      </w:r>
      <w:r w:rsidR="572CFFA6" w:rsidRPr="00225592">
        <w:rPr>
          <w:b/>
          <w:bCs/>
        </w:rPr>
        <w:t xml:space="preserve">UTILITY </w:t>
      </w:r>
      <w:r w:rsidR="00F36AF7" w:rsidRPr="00225592">
        <w:rPr>
          <w:b/>
          <w:bCs/>
        </w:rPr>
        <w:t xml:space="preserve">REGULATORS </w:t>
      </w:r>
      <w:r w:rsidR="545F98A0" w:rsidRPr="00225592">
        <w:rPr>
          <w:b/>
          <w:bCs/>
        </w:rPr>
        <w:t xml:space="preserve">IN TEXAS </w:t>
      </w:r>
      <w:r w:rsidR="00F36AF7" w:rsidRPr="00225592">
        <w:rPr>
          <w:b/>
          <w:bCs/>
        </w:rPr>
        <w:t>USE ACTUAL CAPITAL STRUCTURE TO SET UTILITY RATES</w:t>
      </w:r>
      <w:r w:rsidRPr="00225592">
        <w:rPr>
          <w:b/>
          <w:bCs/>
        </w:rPr>
        <w:t>?</w:t>
      </w:r>
    </w:p>
    <w:p w14:paraId="54619F22" w14:textId="75390077" w:rsidR="00A34FDD" w:rsidRDefault="00130777" w:rsidP="00225592">
      <w:pPr>
        <w:spacing w:line="480" w:lineRule="auto"/>
        <w:ind w:left="720" w:hanging="720"/>
        <w:rPr>
          <w:b/>
        </w:rPr>
      </w:pPr>
      <w:r w:rsidRPr="4B8DF13A">
        <w:t>A.</w:t>
      </w:r>
      <w:r>
        <w:tab/>
      </w:r>
      <w:r w:rsidR="00F36AF7" w:rsidRPr="4B8DF13A">
        <w:t xml:space="preserve">Yes.  The Railroad Commission of Texas </w:t>
      </w:r>
      <w:r w:rsidR="00625A1B" w:rsidRPr="4B8DF13A">
        <w:t>(“Railroad Commission”)</w:t>
      </w:r>
      <w:r w:rsidR="00F36AF7" w:rsidRPr="4B8DF13A">
        <w:t xml:space="preserve"> </w:t>
      </w:r>
      <w:r w:rsidR="14F366D6" w:rsidRPr="4B8DF13A">
        <w:t xml:space="preserve">often </w:t>
      </w:r>
      <w:r w:rsidR="00F36AF7" w:rsidRPr="4B8DF13A">
        <w:t xml:space="preserve">uses </w:t>
      </w:r>
      <w:r w:rsidR="00F36AF7" w:rsidRPr="4B8DF13A">
        <w:rPr>
          <w:i/>
          <w:iCs/>
        </w:rPr>
        <w:t xml:space="preserve">actual </w:t>
      </w:r>
      <w:r w:rsidR="00F36AF7" w:rsidRPr="4B8DF13A">
        <w:t>capital structure</w:t>
      </w:r>
      <w:r w:rsidR="2AC91358" w:rsidRPr="4B8DF13A">
        <w:t xml:space="preserve"> to set gas utility rates in Texas</w:t>
      </w:r>
      <w:r w:rsidR="00F36AF7" w:rsidRPr="4B8DF13A">
        <w:t xml:space="preserve">. </w:t>
      </w:r>
      <w:r w:rsidR="00D263B6" w:rsidRPr="4B8DF13A">
        <w:t xml:space="preserve">Just last year, </w:t>
      </w:r>
      <w:r w:rsidR="005F17A4" w:rsidRPr="4B8DF13A">
        <w:t>when setting rates for Texas Gas Service</w:t>
      </w:r>
      <w:r w:rsidR="00781684" w:rsidRPr="4B8DF13A">
        <w:t xml:space="preserve">, </w:t>
      </w:r>
      <w:r w:rsidR="0032455E" w:rsidRPr="4B8DF13A" w:rsidDel="00B74517">
        <w:t xml:space="preserve">a </w:t>
      </w:r>
      <w:r w:rsidR="0032455E" w:rsidRPr="4B8DF13A">
        <w:t xml:space="preserve">Railroad Commission </w:t>
      </w:r>
      <w:r w:rsidR="00BF6216" w:rsidRPr="4B8DF13A">
        <w:t xml:space="preserve">ALJ </w:t>
      </w:r>
      <w:r w:rsidR="00677D9F" w:rsidRPr="4B8DF13A">
        <w:t xml:space="preserve">recommended rejecting </w:t>
      </w:r>
      <w:r w:rsidR="00C812E8" w:rsidRPr="4B8DF13A">
        <w:t>a</w:t>
      </w:r>
      <w:r w:rsidR="00B74517">
        <w:t>n intervenor’s</w:t>
      </w:r>
      <w:r w:rsidR="00C812E8" w:rsidRPr="4B8DF13A">
        <w:t xml:space="preserve"> proposed </w:t>
      </w:r>
      <w:r w:rsidR="00C812E8" w:rsidRPr="4B8DF13A">
        <w:rPr>
          <w:i/>
          <w:iCs/>
        </w:rPr>
        <w:t xml:space="preserve">hypothetical </w:t>
      </w:r>
      <w:r w:rsidR="00AE3654" w:rsidRPr="4B8DF13A">
        <w:t xml:space="preserve">capital structure in favor of using the utility’s </w:t>
      </w:r>
      <w:r w:rsidR="00AE3654" w:rsidRPr="4B8DF13A">
        <w:rPr>
          <w:i/>
          <w:iCs/>
        </w:rPr>
        <w:t xml:space="preserve">actual </w:t>
      </w:r>
      <w:r w:rsidR="00AE3654" w:rsidRPr="4B8DF13A">
        <w:t>capital structure</w:t>
      </w:r>
      <w:r w:rsidR="007D3631" w:rsidRPr="4B8DF13A">
        <w:t xml:space="preserve">, which was </w:t>
      </w:r>
      <w:r w:rsidR="00AE0F0E" w:rsidRPr="4B8DF13A">
        <w:t xml:space="preserve">40.26% debt and </w:t>
      </w:r>
      <w:r w:rsidR="00856832" w:rsidRPr="4B8DF13A">
        <w:t>59.74% equity</w:t>
      </w:r>
      <w:r w:rsidR="00AE3654" w:rsidRPr="4B8DF13A">
        <w:t>.</w:t>
      </w:r>
      <w:r w:rsidR="00F977CF" w:rsidRPr="4B8DF13A">
        <w:rPr>
          <w:rStyle w:val="FootnoteReference"/>
          <w:rFonts w:eastAsia="Calibri"/>
        </w:rPr>
        <w:footnoteReference w:id="30"/>
      </w:r>
      <w:r w:rsidR="00AE3654" w:rsidRPr="4B8DF13A">
        <w:t xml:space="preserve"> </w:t>
      </w:r>
      <w:r w:rsidR="00A40306" w:rsidRPr="4B8DF13A">
        <w:t xml:space="preserve">In his </w:t>
      </w:r>
      <w:r w:rsidR="004513B7" w:rsidRPr="4B8DF13A">
        <w:t>Amended Proposal for Decision (“PFD”)</w:t>
      </w:r>
      <w:r w:rsidR="00A34FDD" w:rsidRPr="4B8DF13A">
        <w:t>, the ALJ wrote:</w:t>
      </w:r>
    </w:p>
    <w:p w14:paraId="55F2FB2C" w14:textId="1631698D" w:rsidR="00130777" w:rsidRPr="00130777" w:rsidRDefault="00A34FDD" w:rsidP="00225592">
      <w:pPr>
        <w:ind w:left="2160" w:right="1440"/>
        <w:rPr>
          <w:b/>
        </w:rPr>
      </w:pPr>
      <w:r w:rsidRPr="4B8DF13A">
        <w:t>Consistent with the Commission’s long-established precedent and policy to adopt a utility’s actual capital</w:t>
      </w:r>
      <w:r w:rsidR="00130777" w:rsidRPr="4B8DF13A">
        <w:t xml:space="preserve"> </w:t>
      </w:r>
      <w:r w:rsidR="0091788C" w:rsidRPr="4B8DF13A">
        <w:t xml:space="preserve">structure when doing so is reasonable and supported by industry standards, the Examiners recommend rejecting the hypothetical capital structure as argued by </w:t>
      </w:r>
      <w:r w:rsidR="00BD0CE4" w:rsidRPr="4B8DF13A">
        <w:t>[City of El Paso</w:t>
      </w:r>
      <w:r w:rsidR="00507454" w:rsidRPr="4B8DF13A">
        <w:t>].</w:t>
      </w:r>
      <w:r w:rsidR="00F429A1" w:rsidRPr="4B8DF13A">
        <w:rPr>
          <w:rStyle w:val="FootnoteReference"/>
          <w:rFonts w:eastAsia="Calibri"/>
        </w:rPr>
        <w:footnoteReference w:id="31"/>
      </w:r>
      <w:r w:rsidR="00130777" w:rsidRPr="4B8DF13A">
        <w:t xml:space="preserve"> </w:t>
      </w:r>
    </w:p>
    <w:p w14:paraId="5FB43887" w14:textId="77777777" w:rsidR="00150948" w:rsidRPr="00130777" w:rsidRDefault="00150948" w:rsidP="00D93CC6"/>
    <w:p w14:paraId="110422D7" w14:textId="7868A734" w:rsidR="00130777" w:rsidRPr="008F0668" w:rsidRDefault="00E2574A" w:rsidP="00225592">
      <w:pPr>
        <w:spacing w:line="480" w:lineRule="auto"/>
        <w:ind w:left="720"/>
        <w:rPr>
          <w:b/>
        </w:rPr>
      </w:pPr>
      <w:r>
        <w:lastRenderedPageBreak/>
        <w:t xml:space="preserve">The Railroad Commission adopted the </w:t>
      </w:r>
      <w:r w:rsidR="00E36298">
        <w:t>ALJ’s recommendation.</w:t>
      </w:r>
      <w:r w:rsidR="00BD30C2">
        <w:rPr>
          <w:rStyle w:val="FootnoteReference"/>
        </w:rPr>
        <w:footnoteReference w:id="32"/>
      </w:r>
      <w:r w:rsidR="00E36298">
        <w:t xml:space="preserve"> </w:t>
      </w:r>
      <w:r w:rsidR="008B3EE7">
        <w:t xml:space="preserve">Excerpts from the </w:t>
      </w:r>
      <w:r w:rsidR="00753AF9">
        <w:t xml:space="preserve">Amended </w:t>
      </w:r>
      <w:r w:rsidR="004513B7">
        <w:t>PFD</w:t>
      </w:r>
      <w:r w:rsidR="00753AF9">
        <w:t xml:space="preserve"> and the Railroad Commission’s Order are attached as Exhibit JMR</w:t>
      </w:r>
      <w:r w:rsidR="00343E75">
        <w:noBreakHyphen/>
      </w:r>
      <w:r w:rsidR="00203C3D">
        <w:t>7.</w:t>
      </w:r>
    </w:p>
    <w:p w14:paraId="662B1177" w14:textId="4356B7EC" w:rsidR="008F0668" w:rsidRPr="00225592" w:rsidRDefault="008F0668" w:rsidP="00225592">
      <w:pPr>
        <w:spacing w:line="480" w:lineRule="auto"/>
        <w:ind w:left="720" w:hanging="720"/>
        <w:rPr>
          <w:b/>
          <w:bCs/>
        </w:rPr>
      </w:pPr>
      <w:r w:rsidRPr="00225592">
        <w:rPr>
          <w:b/>
          <w:bCs/>
        </w:rPr>
        <w:t>Q.</w:t>
      </w:r>
      <w:r w:rsidR="67565601" w:rsidRPr="00225592">
        <w:rPr>
          <w:b/>
          <w:bCs/>
        </w:rPr>
        <w:t xml:space="preserve"> </w:t>
      </w:r>
      <w:r w:rsidR="00D97DC1" w:rsidRPr="00225592">
        <w:rPr>
          <w:b/>
          <w:bCs/>
        </w:rPr>
        <w:t xml:space="preserve"> </w:t>
      </w:r>
      <w:r w:rsidRPr="00225592">
        <w:rPr>
          <w:b/>
          <w:bCs/>
        </w:rPr>
        <w:tab/>
      </w:r>
      <w:r w:rsidR="568DFBF0" w:rsidRPr="00225592">
        <w:rPr>
          <w:b/>
          <w:bCs/>
        </w:rPr>
        <w:t xml:space="preserve">DOES THE </w:t>
      </w:r>
      <w:r w:rsidR="00CE0AA3" w:rsidRPr="00225592">
        <w:rPr>
          <w:b/>
          <w:bCs/>
        </w:rPr>
        <w:t xml:space="preserve">PUBLIC UTILITY </w:t>
      </w:r>
      <w:r w:rsidR="568DFBF0" w:rsidRPr="00225592">
        <w:rPr>
          <w:b/>
          <w:bCs/>
        </w:rPr>
        <w:t xml:space="preserve">COMMISSION HAVE SUFFICIENT EXPERIENCE WITH </w:t>
      </w:r>
      <w:r w:rsidR="00150948" w:rsidRPr="00225592">
        <w:rPr>
          <w:b/>
          <w:bCs/>
        </w:rPr>
        <w:t xml:space="preserve">“INDUSTRY STANDARDS” FOR </w:t>
      </w:r>
      <w:r w:rsidR="568DFBF0" w:rsidRPr="00225592">
        <w:rPr>
          <w:b/>
          <w:bCs/>
        </w:rPr>
        <w:t>UNBUNDLED TDU</w:t>
      </w:r>
      <w:r w:rsidR="00A76123" w:rsidRPr="00225592">
        <w:rPr>
          <w:b/>
          <w:bCs/>
        </w:rPr>
        <w:t>s</w:t>
      </w:r>
      <w:r w:rsidR="568DFBF0" w:rsidRPr="00225592">
        <w:rPr>
          <w:b/>
          <w:bCs/>
        </w:rPr>
        <w:t xml:space="preserve"> </w:t>
      </w:r>
      <w:r w:rsidR="00CE0AA3" w:rsidRPr="00225592">
        <w:rPr>
          <w:b/>
          <w:bCs/>
        </w:rPr>
        <w:t xml:space="preserve">SUCH THAT IT COULD ALSO </w:t>
      </w:r>
      <w:r w:rsidR="568DFBF0" w:rsidRPr="00225592">
        <w:rPr>
          <w:b/>
          <w:bCs/>
        </w:rPr>
        <w:t xml:space="preserve">RELY ON </w:t>
      </w:r>
      <w:r w:rsidR="568DFBF0" w:rsidRPr="00225592">
        <w:rPr>
          <w:b/>
          <w:bCs/>
          <w:i/>
          <w:iCs/>
        </w:rPr>
        <w:t xml:space="preserve">ACTUAL </w:t>
      </w:r>
      <w:r w:rsidR="568DFBF0" w:rsidRPr="00225592">
        <w:rPr>
          <w:b/>
          <w:bCs/>
        </w:rPr>
        <w:t>CAPITAL STRUCTURES TO SET RATES</w:t>
      </w:r>
      <w:r w:rsidR="67565601" w:rsidRPr="00225592">
        <w:rPr>
          <w:b/>
          <w:bCs/>
        </w:rPr>
        <w:t>?</w:t>
      </w:r>
    </w:p>
    <w:p w14:paraId="1D49E5E3" w14:textId="1BA10A6C" w:rsidR="008F0668" w:rsidRPr="008F0668" w:rsidRDefault="008F0668" w:rsidP="00225592">
      <w:pPr>
        <w:spacing w:line="480" w:lineRule="auto"/>
        <w:ind w:left="720" w:hanging="720"/>
        <w:rPr>
          <w:b/>
        </w:rPr>
      </w:pPr>
      <w:r w:rsidRPr="008F0668">
        <w:t>A</w:t>
      </w:r>
      <w:r>
        <w:t>.</w:t>
      </w:r>
      <w:r>
        <w:tab/>
      </w:r>
      <w:r w:rsidR="00731067">
        <w:t>Yes</w:t>
      </w:r>
      <w:r w:rsidRPr="008F0668">
        <w:t xml:space="preserve">. The electricity market </w:t>
      </w:r>
      <w:r w:rsidR="00E27B57">
        <w:t xml:space="preserve">in the ERCOT power region </w:t>
      </w:r>
      <w:r w:rsidRPr="008F0668">
        <w:t>has been unbundled for over twenty years</w:t>
      </w:r>
      <w:r w:rsidR="1B2BE77B" w:rsidRPr="008F0668">
        <w:t xml:space="preserve">, and we no longer need to rely on a transitionary, </w:t>
      </w:r>
      <w:r w:rsidR="26C003FF" w:rsidRPr="4B8DF13A">
        <w:rPr>
          <w:i/>
          <w:iCs/>
        </w:rPr>
        <w:t>hypothetical</w:t>
      </w:r>
      <w:r w:rsidR="1B2BE77B" w:rsidRPr="4B8DF13A">
        <w:rPr>
          <w:i/>
          <w:iCs/>
        </w:rPr>
        <w:t xml:space="preserve"> </w:t>
      </w:r>
      <w:r w:rsidR="1B2BE77B" w:rsidRPr="008F0668">
        <w:t>capital structure when we have that history of actual capital structures to draw from</w:t>
      </w:r>
      <w:r w:rsidRPr="008F0668">
        <w:t xml:space="preserve">.   Moreover, the Commission has ample </w:t>
      </w:r>
      <w:r w:rsidR="00024A5A">
        <w:t>information on</w:t>
      </w:r>
      <w:r w:rsidRPr="008F0668">
        <w:t xml:space="preserve"> the market’s economics, including the economics of each utility. For instance, </w:t>
      </w:r>
      <w:r w:rsidR="2A4EEA2A" w:rsidDel="008F0668">
        <w:t>i</w:t>
      </w:r>
      <w:r w:rsidR="2A4EEA2A" w:rsidRPr="008F0668">
        <w:t>n</w:t>
      </w:r>
      <w:r w:rsidRPr="008F0668">
        <w:t xml:space="preserve"> the early years of the unbundled </w:t>
      </w:r>
      <w:r w:rsidR="04A5D877" w:rsidRPr="008F0668">
        <w:t xml:space="preserve">Texas </w:t>
      </w:r>
      <w:r w:rsidRPr="008F0668">
        <w:t xml:space="preserve">market, TDUs were thought to be lower-risk entities that </w:t>
      </w:r>
      <w:r w:rsidR="7F9C05F3" w:rsidRPr="008F0668">
        <w:t xml:space="preserve">were capable of </w:t>
      </w:r>
      <w:r w:rsidRPr="008F0668">
        <w:t>maintain</w:t>
      </w:r>
      <w:r w:rsidR="255B10A5" w:rsidRPr="008F0668">
        <w:t>ing</w:t>
      </w:r>
      <w:r w:rsidRPr="008F0668">
        <w:t xml:space="preserve"> a higher level of debt.</w:t>
      </w:r>
      <w:r w:rsidRPr="008F0668">
        <w:rPr>
          <w:vertAlign w:val="superscript"/>
        </w:rPr>
        <w:footnoteReference w:id="33"/>
      </w:r>
      <w:r w:rsidRPr="008F0668">
        <w:t xml:space="preserve"> </w:t>
      </w:r>
      <w:r w:rsidR="00024A5A">
        <w:t>Today, however</w:t>
      </w:r>
      <w:r w:rsidRPr="008F0668">
        <w:t xml:space="preserve">, </w:t>
      </w:r>
      <w:r w:rsidR="49E7AA6C">
        <w:t>electric utilities</w:t>
      </w:r>
      <w:r w:rsidRPr="008F0668">
        <w:t xml:space="preserve"> </w:t>
      </w:r>
      <w:r w:rsidR="00CC5B3A">
        <w:t>face greater risks</w:t>
      </w:r>
      <w:r w:rsidRPr="008F0668">
        <w:t xml:space="preserve"> and </w:t>
      </w:r>
      <w:r w:rsidR="5B87FAA8">
        <w:t xml:space="preserve">customers </w:t>
      </w:r>
      <w:r w:rsidR="2A4EEA2A">
        <w:t>expect</w:t>
      </w:r>
      <w:r>
        <w:t xml:space="preserve"> </w:t>
      </w:r>
      <w:r w:rsidR="00CC5B3A">
        <w:t xml:space="preserve">their </w:t>
      </w:r>
      <w:r w:rsidR="49E7AA6C">
        <w:t>utilities</w:t>
      </w:r>
      <w:r w:rsidRPr="008F0668">
        <w:t xml:space="preserve"> to provide more </w:t>
      </w:r>
      <w:r w:rsidR="00024A5A">
        <w:t xml:space="preserve">and better </w:t>
      </w:r>
      <w:r w:rsidRPr="008F0668">
        <w:t>services</w:t>
      </w:r>
      <w:r w:rsidR="2A4EEA2A" w:rsidRPr="008F0668">
        <w:t xml:space="preserve">. </w:t>
      </w:r>
      <w:r w:rsidR="2F062966" w:rsidRPr="008F0668">
        <w:t xml:space="preserve">For example, as distributed generation like roof-top solar </w:t>
      </w:r>
      <w:r w:rsidR="6FCFB225" w:rsidRPr="008F0668">
        <w:t>and batteries</w:t>
      </w:r>
      <w:r w:rsidR="2F062966" w:rsidRPr="008F0668">
        <w:t xml:space="preserve"> becomes more popular, customers want to use the Company’s system to deliver excess power </w:t>
      </w:r>
      <w:r w:rsidR="2F062966" w:rsidRPr="4B8DF13A">
        <w:rPr>
          <w:i/>
          <w:iCs/>
        </w:rPr>
        <w:t>to</w:t>
      </w:r>
      <w:r w:rsidR="2F062966" w:rsidRPr="008F0668">
        <w:t xml:space="preserve"> the grid, not just receive power </w:t>
      </w:r>
      <w:r w:rsidR="2F062966" w:rsidRPr="4B8DF13A">
        <w:rPr>
          <w:i/>
          <w:iCs/>
        </w:rPr>
        <w:t>from</w:t>
      </w:r>
      <w:r w:rsidR="2F062966" w:rsidRPr="008F0668">
        <w:t xml:space="preserve"> it. </w:t>
      </w:r>
      <w:r w:rsidRPr="008F0668">
        <w:t xml:space="preserve"> It is no longer </w:t>
      </w:r>
      <w:r w:rsidR="2A4EEA2A" w:rsidRPr="008F0668">
        <w:t>as</w:t>
      </w:r>
      <w:r w:rsidRPr="008F0668">
        <w:t xml:space="preserve"> </w:t>
      </w:r>
      <w:r w:rsidR="00024A5A">
        <w:t>appropriate</w:t>
      </w:r>
      <w:r w:rsidR="006A4DBA">
        <w:t>,</w:t>
      </w:r>
      <w:r w:rsidRPr="008F0668">
        <w:t xml:space="preserve"> </w:t>
      </w:r>
      <w:r w:rsidR="0D469765">
        <w:t>more than 20</w:t>
      </w:r>
      <w:r w:rsidR="48E2438A" w:rsidRPr="008F0668">
        <w:t xml:space="preserve"> years after </w:t>
      </w:r>
      <w:r w:rsidRPr="008F0668">
        <w:t xml:space="preserve">the </w:t>
      </w:r>
      <w:r w:rsidR="69C53B70" w:rsidRPr="008F0668">
        <w:t xml:space="preserve">electric markets unbundling and </w:t>
      </w:r>
      <w:r w:rsidRPr="008F0668">
        <w:t>transition period</w:t>
      </w:r>
      <w:r w:rsidR="006A4DBA">
        <w:t>,</w:t>
      </w:r>
      <w:r w:rsidRPr="008F0668">
        <w:t xml:space="preserve"> to assign a utility a standard capital structure</w:t>
      </w:r>
      <w:r w:rsidR="00024A5A">
        <w:t>, let alone a 60% debt ratio</w:t>
      </w:r>
      <w:r w:rsidRPr="008F0668">
        <w:t>.</w:t>
      </w:r>
      <w:r w:rsidR="00EF5BC8">
        <w:t xml:space="preserve"> </w:t>
      </w:r>
      <w:r w:rsidR="3326191D">
        <w:t>To</w:t>
      </w:r>
      <w:r w:rsidR="00A561CA">
        <w:t xml:space="preserve"> </w:t>
      </w:r>
      <w:r w:rsidR="4E95A17F">
        <w:t>compound matters</w:t>
      </w:r>
      <w:r w:rsidR="00EF5BC8">
        <w:t xml:space="preserve">, while </w:t>
      </w:r>
      <w:r w:rsidR="47024F19" w:rsidRPr="00EF5BC8">
        <w:t>some parties</w:t>
      </w:r>
      <w:r w:rsidR="00EF5BC8" w:rsidRPr="00EF5BC8">
        <w:t xml:space="preserve"> have continued to </w:t>
      </w:r>
      <w:r w:rsidR="00775860" w:rsidRPr="00EF5BC8">
        <w:t>advocate</w:t>
      </w:r>
      <w:r w:rsidR="00EF5BC8" w:rsidRPr="00EF5BC8">
        <w:t xml:space="preserve"> for a 60% debt/40% equity capital structure,</w:t>
      </w:r>
      <w:r w:rsidR="3326191D" w:rsidRPr="00EF5BC8">
        <w:t xml:space="preserve"> </w:t>
      </w:r>
      <w:r w:rsidR="72138FAA" w:rsidRPr="00EF5BC8">
        <w:t>the imposition of an artificially high debt ratio is</w:t>
      </w:r>
      <w:r w:rsidR="00EF5BC8" w:rsidRPr="00EF5BC8">
        <w:t xml:space="preserve"> </w:t>
      </w:r>
      <w:r w:rsidR="00EF5BC8" w:rsidRPr="00EF5BC8">
        <w:lastRenderedPageBreak/>
        <w:t xml:space="preserve">no longer </w:t>
      </w:r>
      <w:r w:rsidR="001A027D" w:rsidRPr="00EF5BC8">
        <w:t>accompanie</w:t>
      </w:r>
      <w:r w:rsidR="001A027D">
        <w:t>d</w:t>
      </w:r>
      <w:r w:rsidR="72138FAA" w:rsidRPr="00EF5BC8">
        <w:t xml:space="preserve"> by</w:t>
      </w:r>
      <w:r w:rsidR="00EF5BC8" w:rsidRPr="00EF5BC8">
        <w:t xml:space="preserve"> an </w:t>
      </w:r>
      <w:r w:rsidR="4C1E1885" w:rsidRPr="00EF5BC8">
        <w:t xml:space="preserve">express </w:t>
      </w:r>
      <w:r w:rsidR="32EABEA0" w:rsidRPr="00EF5BC8">
        <w:t xml:space="preserve">50 basis point </w:t>
      </w:r>
      <w:r w:rsidR="00EF5BC8" w:rsidRPr="00EF5BC8">
        <w:t>increase in ROE to recognize the added risk of a 60% debt ratio</w:t>
      </w:r>
      <w:r w:rsidR="7925CC56" w:rsidRPr="00EF5BC8">
        <w:t xml:space="preserve"> like it was in Docket No </w:t>
      </w:r>
      <w:r w:rsidR="00B00757">
        <w:t>22344</w:t>
      </w:r>
      <w:r w:rsidR="00EF5BC8" w:rsidRPr="00EF5BC8">
        <w:t>.</w:t>
      </w:r>
    </w:p>
    <w:p w14:paraId="3704FF45" w14:textId="08187AB5" w:rsidR="008F0668" w:rsidRPr="00225592" w:rsidRDefault="008F0668" w:rsidP="00225592">
      <w:pPr>
        <w:spacing w:line="480" w:lineRule="auto"/>
        <w:ind w:left="720" w:hanging="720"/>
        <w:rPr>
          <w:b/>
          <w:bCs/>
        </w:rPr>
      </w:pPr>
      <w:r w:rsidRPr="00225592">
        <w:rPr>
          <w:b/>
          <w:bCs/>
        </w:rPr>
        <w:t>Q.</w:t>
      </w:r>
      <w:r w:rsidRPr="00225592">
        <w:rPr>
          <w:b/>
          <w:bCs/>
        </w:rPr>
        <w:tab/>
        <w:t xml:space="preserve">WHAT DO YOU MEAN WHEN YOU SAY THAT UTILITIES NOW </w:t>
      </w:r>
      <w:r w:rsidR="000E7A57" w:rsidRPr="00225592">
        <w:rPr>
          <w:b/>
          <w:bCs/>
        </w:rPr>
        <w:t xml:space="preserve">FACE GREATER </w:t>
      </w:r>
      <w:r w:rsidR="00CE4612" w:rsidRPr="00225592">
        <w:rPr>
          <w:b/>
          <w:bCs/>
        </w:rPr>
        <w:t>RISKS</w:t>
      </w:r>
      <w:r w:rsidRPr="00225592">
        <w:rPr>
          <w:b/>
          <w:bCs/>
        </w:rPr>
        <w:t xml:space="preserve"> THAN THEY </w:t>
      </w:r>
      <w:r w:rsidR="003E5724" w:rsidRPr="00225592">
        <w:rPr>
          <w:b/>
          <w:bCs/>
        </w:rPr>
        <w:t>USED TO</w:t>
      </w:r>
      <w:r w:rsidRPr="00225592">
        <w:rPr>
          <w:b/>
          <w:bCs/>
        </w:rPr>
        <w:t>?</w:t>
      </w:r>
    </w:p>
    <w:p w14:paraId="04AE4C38" w14:textId="5D1458E4" w:rsidR="008F0668" w:rsidRPr="008F0668" w:rsidRDefault="008F0668" w:rsidP="00225592">
      <w:pPr>
        <w:spacing w:line="480" w:lineRule="auto"/>
        <w:ind w:left="720" w:hanging="720"/>
        <w:rPr>
          <w:b/>
        </w:rPr>
      </w:pPr>
      <w:r w:rsidRPr="5103626C">
        <w:t>A.</w:t>
      </w:r>
      <w:r>
        <w:tab/>
      </w:r>
      <w:r w:rsidRPr="5103626C">
        <w:t xml:space="preserve">The Company now </w:t>
      </w:r>
      <w:r w:rsidR="00FD46F2">
        <w:t xml:space="preserve">faces </w:t>
      </w:r>
      <w:r w:rsidR="00C47507">
        <w:t>greater risk</w:t>
      </w:r>
      <w:r w:rsidRPr="5103626C">
        <w:t xml:space="preserve"> for a couple of reasons. As discussed</w:t>
      </w:r>
      <w:r w:rsidRPr="1CCFF1E7">
        <w:t xml:space="preserve"> </w:t>
      </w:r>
      <w:r w:rsidR="3B5D17DC" w:rsidRPr="1CCFF1E7">
        <w:t>above and</w:t>
      </w:r>
      <w:r w:rsidRPr="5103626C">
        <w:t xml:space="preserve"> by Company witness Lynnae Wilson, the Company has experienced significant load growth. Customer growth has required the Company to increase capital investments to maintain and improve the Company’s complex transmission and distribution systems. Moreover, as the Company’s system expands, the Company must invest more capital to ensure reliability </w:t>
      </w:r>
      <w:r w:rsidR="5A898B95" w:rsidRPr="5103626C">
        <w:t xml:space="preserve">and resiliency </w:t>
      </w:r>
      <w:r w:rsidRPr="5103626C">
        <w:t xml:space="preserve">of the system for its customers. </w:t>
      </w:r>
      <w:r w:rsidR="555B5946" w:rsidRPr="2506483B">
        <w:t xml:space="preserve">Taking on extra debt to </w:t>
      </w:r>
      <w:r w:rsidR="555B5946" w:rsidRPr="547EF9CB">
        <w:t>fund that investment</w:t>
      </w:r>
      <w:r w:rsidR="555B5946" w:rsidRPr="5E90489E">
        <w:t xml:space="preserve"> creates additional risk for the</w:t>
      </w:r>
      <w:r w:rsidR="555B5946" w:rsidRPr="547EF9CB">
        <w:t xml:space="preserve"> </w:t>
      </w:r>
      <w:r w:rsidR="555B5946" w:rsidRPr="1A748CA7">
        <w:t xml:space="preserve">Company. </w:t>
      </w:r>
      <w:r w:rsidRPr="5103626C" w:rsidDel="00363DA5">
        <w:t xml:space="preserve"> </w:t>
      </w:r>
    </w:p>
    <w:p w14:paraId="55C1D0AF" w14:textId="0DFC0C5C" w:rsidR="008F0668" w:rsidRPr="008F0668" w:rsidRDefault="008F0668" w:rsidP="00225592">
      <w:pPr>
        <w:spacing w:line="480" w:lineRule="auto"/>
        <w:ind w:left="720"/>
        <w:rPr>
          <w:b/>
        </w:rPr>
      </w:pPr>
      <w:r w:rsidRPr="5103626C">
        <w:t xml:space="preserve">The Commissioners discussed this increased level of risk and its effect on a utility’s capital structure in the Commission’s Open Meeting on March 9, 2023. </w:t>
      </w:r>
      <w:r w:rsidR="00BC1CCD" w:rsidRPr="5103626C">
        <w:t xml:space="preserve">During a discussion of the proposal for decision in the most recent Oncor rate case (Docket No. 53601), </w:t>
      </w:r>
      <w:r w:rsidRPr="5103626C">
        <w:t xml:space="preserve">Commissioner Glotfelty pointed out that, after unbundling, the Commission assigned a 60/40 debt to equity capital structure because </w:t>
      </w:r>
      <w:r w:rsidR="00BC1CCD" w:rsidRPr="5103626C">
        <w:t xml:space="preserve">“it wasn’t a really risky business, and now it is just getting much </w:t>
      </w:r>
      <w:bookmarkStart w:id="15" w:name="_Int_mXhavjqj"/>
      <w:r w:rsidR="00BC1CCD" w:rsidRPr="5103626C">
        <w:t>more risky</w:t>
      </w:r>
      <w:bookmarkEnd w:id="15"/>
      <w:r w:rsidRPr="5103626C">
        <w:t>.</w:t>
      </w:r>
      <w:r w:rsidR="00BC1CCD" w:rsidRPr="5103626C">
        <w:t>”</w:t>
      </w:r>
      <w:r w:rsidRPr="5103626C">
        <w:rPr>
          <w:vertAlign w:val="superscript"/>
        </w:rPr>
        <w:footnoteReference w:id="34"/>
      </w:r>
      <w:r w:rsidRPr="5103626C">
        <w:t xml:space="preserve"> </w:t>
      </w:r>
      <w:r w:rsidR="00BC1CCD" w:rsidRPr="5103626C">
        <w:t>While focusing his comments on the appropriate ROE,</w:t>
      </w:r>
      <w:r w:rsidRPr="5103626C">
        <w:t xml:space="preserve"> Chairman Lake </w:t>
      </w:r>
      <w:r w:rsidR="00BC1CCD" w:rsidRPr="5103626C">
        <w:t>nevertheless also acknowledged that TDU risk “</w:t>
      </w:r>
      <w:r w:rsidR="2AA9C93B" w:rsidRPr="7C130B33">
        <w:t>h</w:t>
      </w:r>
      <w:r w:rsidR="00BC1CCD" w:rsidRPr="7C130B33">
        <w:t>as</w:t>
      </w:r>
      <w:r w:rsidR="00BC1CCD" w:rsidRPr="5103626C">
        <w:t xml:space="preserve"> increased for all the reasons that [you] have articulated, the load growth, the increasing complexity . . . of the network</w:t>
      </w:r>
      <w:r w:rsidR="00C60B2B" w:rsidRPr="5103626C">
        <w:t>, all of those things.”</w:t>
      </w:r>
      <w:r w:rsidRPr="5103626C">
        <w:rPr>
          <w:vertAlign w:val="superscript"/>
        </w:rPr>
        <w:footnoteReference w:id="35"/>
      </w:r>
      <w:r w:rsidRPr="5103626C">
        <w:t xml:space="preserve"> Therefore, the Company operates a riskier business than it did in </w:t>
      </w:r>
      <w:r w:rsidRPr="5103626C">
        <w:lastRenderedPageBreak/>
        <w:t xml:space="preserve">the past. Given the increased level of risk and that TDUs no longer operate in a transition period, the Commission </w:t>
      </w:r>
      <w:r w:rsidR="00AD1001" w:rsidRPr="5103626C">
        <w:t xml:space="preserve">should </w:t>
      </w:r>
      <w:r w:rsidR="00C87CE1" w:rsidRPr="5103626C">
        <w:t xml:space="preserve">apply the utility’s </w:t>
      </w:r>
      <w:r w:rsidR="00C87CE1" w:rsidRPr="4B8DF13A">
        <w:rPr>
          <w:i/>
          <w:iCs/>
        </w:rPr>
        <w:t xml:space="preserve">actual </w:t>
      </w:r>
      <w:r w:rsidR="00C87CE1" w:rsidRPr="5103626C">
        <w:t>capital structure when setting rates to reflect the actual equity level needed to operate a utility business in the face of these heighted risks.</w:t>
      </w:r>
      <w:r w:rsidRPr="5103626C">
        <w:t xml:space="preserve"> </w:t>
      </w:r>
    </w:p>
    <w:p w14:paraId="3246626B" w14:textId="24DD641D" w:rsidR="00101874" w:rsidRPr="00225592" w:rsidRDefault="00101874" w:rsidP="00225592">
      <w:pPr>
        <w:spacing w:line="480" w:lineRule="auto"/>
        <w:ind w:left="720" w:hanging="720"/>
        <w:rPr>
          <w:b/>
          <w:bCs/>
        </w:rPr>
      </w:pPr>
      <w:r w:rsidRPr="00225592">
        <w:rPr>
          <w:b/>
          <w:bCs/>
        </w:rPr>
        <w:t xml:space="preserve">Q. </w:t>
      </w:r>
      <w:r w:rsidRPr="00225592">
        <w:rPr>
          <w:b/>
          <w:bCs/>
        </w:rPr>
        <w:tab/>
      </w:r>
      <w:r w:rsidR="42F64698" w:rsidRPr="00225592">
        <w:rPr>
          <w:b/>
          <w:bCs/>
        </w:rPr>
        <w:t>IS</w:t>
      </w:r>
      <w:r w:rsidRPr="00225592">
        <w:rPr>
          <w:b/>
          <w:bCs/>
        </w:rPr>
        <w:t xml:space="preserve"> A 57.5% DEBT</w:t>
      </w:r>
      <w:r w:rsidR="0009699B" w:rsidRPr="00225592">
        <w:rPr>
          <w:b/>
          <w:bCs/>
        </w:rPr>
        <w:t xml:space="preserve"> AND 42.5% EQUITY CAPITAL STRUCTURE APPROPRIATE FOR CENTERPOINT HOUSTON?</w:t>
      </w:r>
    </w:p>
    <w:p w14:paraId="79819797" w14:textId="500F1FFF" w:rsidR="0009699B" w:rsidRDefault="0009699B" w:rsidP="00225592">
      <w:pPr>
        <w:spacing w:line="480" w:lineRule="auto"/>
        <w:ind w:left="720" w:hanging="720"/>
        <w:rPr>
          <w:b/>
        </w:rPr>
      </w:pPr>
      <w:r>
        <w:t>A.</w:t>
      </w:r>
      <w:r>
        <w:tab/>
      </w:r>
      <w:r w:rsidR="000B17CB">
        <w:t>No</w:t>
      </w:r>
      <w:r>
        <w:t xml:space="preserve">. </w:t>
      </w:r>
      <w:r w:rsidR="004F1D8D">
        <w:t>The evidence in Docket No. 49421</w:t>
      </w:r>
      <w:r w:rsidR="44BB9B5C">
        <w:t>, our last rate case</w:t>
      </w:r>
      <w:r w:rsidR="2DA86D00">
        <w:t xml:space="preserve"> (where the PFD proposed using our </w:t>
      </w:r>
      <w:r w:rsidR="2DA86D00" w:rsidRPr="4B8DF13A">
        <w:rPr>
          <w:i/>
          <w:iCs/>
        </w:rPr>
        <w:t xml:space="preserve">actual </w:t>
      </w:r>
      <w:r w:rsidR="2DA86D00">
        <w:t>capital structure)</w:t>
      </w:r>
      <w:r w:rsidR="44BB9B5C">
        <w:t>,</w:t>
      </w:r>
      <w:r w:rsidR="004F1D8D">
        <w:t xml:space="preserve"> demonstrated that </w:t>
      </w:r>
      <w:r w:rsidR="004A365E">
        <w:t xml:space="preserve">the </w:t>
      </w:r>
      <w:r w:rsidR="00936B61">
        <w:t xml:space="preserve">national average </w:t>
      </w:r>
      <w:r w:rsidR="00D93168">
        <w:t>equity</w:t>
      </w:r>
      <w:r w:rsidR="002C4E3D">
        <w:t xml:space="preserve"> ratio of 24 holding companies similar to CNP</w:t>
      </w:r>
      <w:r w:rsidR="0061126D">
        <w:t xml:space="preserve"> was </w:t>
      </w:r>
      <w:r w:rsidR="0077463C">
        <w:t xml:space="preserve">well over 50%. </w:t>
      </w:r>
      <w:r w:rsidR="00A65EE6">
        <w:t xml:space="preserve">The proxy group used by </w:t>
      </w:r>
      <w:r w:rsidR="004F54B4">
        <w:t xml:space="preserve">Company witness </w:t>
      </w:r>
      <w:r w:rsidR="00E01A0B">
        <w:t xml:space="preserve">Ann Bulkley in her testimony in this proceeding </w:t>
      </w:r>
      <w:r w:rsidR="00DF4108">
        <w:t xml:space="preserve">has </w:t>
      </w:r>
      <w:r w:rsidR="00E01A0B">
        <w:t xml:space="preserve">a similar </w:t>
      </w:r>
      <w:r w:rsidR="00DF4108">
        <w:t xml:space="preserve">average </w:t>
      </w:r>
      <w:r w:rsidR="00E43F99">
        <w:t>for capital structure</w:t>
      </w:r>
      <w:r w:rsidR="00E01A0B">
        <w:t xml:space="preserve">. </w:t>
      </w:r>
    </w:p>
    <w:p w14:paraId="1028D799" w14:textId="76EB8A2D" w:rsidR="00EA1A03" w:rsidRPr="00225592" w:rsidRDefault="008A1BF8" w:rsidP="00225592">
      <w:pPr>
        <w:spacing w:line="480" w:lineRule="auto"/>
        <w:rPr>
          <w:b/>
          <w:bCs/>
        </w:rPr>
      </w:pPr>
      <w:r w:rsidRPr="00225592">
        <w:rPr>
          <w:b/>
          <w:bCs/>
        </w:rPr>
        <w:t>Q.</w:t>
      </w:r>
      <w:r w:rsidRPr="00225592">
        <w:rPr>
          <w:b/>
          <w:bCs/>
        </w:rPr>
        <w:tab/>
        <w:t>WHAT IS A “PROXY GROUP” AND WHY IS IT IMPORTANT?</w:t>
      </w:r>
    </w:p>
    <w:p w14:paraId="1AA0C3F8" w14:textId="0A31AE85" w:rsidR="008A1BF8" w:rsidRPr="0086363B" w:rsidRDefault="008A1BF8" w:rsidP="00225592">
      <w:pPr>
        <w:spacing w:line="480" w:lineRule="auto"/>
        <w:ind w:left="720" w:hanging="720"/>
        <w:rPr>
          <w:b/>
        </w:rPr>
      </w:pPr>
      <w:r>
        <w:t>A.</w:t>
      </w:r>
      <w:r>
        <w:tab/>
      </w:r>
      <w:r w:rsidR="00C17BB0">
        <w:t xml:space="preserve">When considering </w:t>
      </w:r>
      <w:r w:rsidR="00D302D0">
        <w:t xml:space="preserve">what is an </w:t>
      </w:r>
      <w:r w:rsidR="007E1D72">
        <w:t>appropriate capital</w:t>
      </w:r>
      <w:r w:rsidR="00D302D0">
        <w:t xml:space="preserve"> structure</w:t>
      </w:r>
      <w:r w:rsidR="6FA89D4E">
        <w:t xml:space="preserve"> (and ROE)</w:t>
      </w:r>
      <w:r w:rsidR="00D302D0">
        <w:t xml:space="preserve"> for CenterPoint Houston, it is important to compare CenterPoint Houston to </w:t>
      </w:r>
      <w:r w:rsidR="00552217">
        <w:t>a “proxy group</w:t>
      </w:r>
      <w:r w:rsidR="004F54B4">
        <w:t>”</w:t>
      </w:r>
      <w:r w:rsidR="00552217">
        <w:t xml:space="preserve"> or “peer group” of </w:t>
      </w:r>
      <w:r w:rsidR="00A1399E">
        <w:t>companies that have similar financial and operational characteristics</w:t>
      </w:r>
      <w:r w:rsidR="00250020">
        <w:t>—</w:t>
      </w:r>
      <w:r w:rsidR="006C29FC">
        <w:t>companies that investors view as comparable</w:t>
      </w:r>
      <w:r w:rsidR="007144B6">
        <w:t xml:space="preserve"> to CenterPoint Houston. </w:t>
      </w:r>
      <w:r w:rsidR="0047154C">
        <w:t xml:space="preserve">If ROE and capital structure are set based on </w:t>
      </w:r>
      <w:r w:rsidR="009958B7">
        <w:t xml:space="preserve">companies that are not comparable to CenterPoint Houston, investors will not respond </w:t>
      </w:r>
      <w:r w:rsidR="009D01DE">
        <w:t xml:space="preserve">as intended. If ROE </w:t>
      </w:r>
      <w:r w:rsidR="00CA4B1E">
        <w:t xml:space="preserve">and equity ratio are </w:t>
      </w:r>
      <w:r w:rsidR="009D01DE">
        <w:t xml:space="preserve">set lower than comparable companies, investors will </w:t>
      </w:r>
      <w:r w:rsidR="00CA4B1E">
        <w:t xml:space="preserve">shift dollars to similar companies that have more appropriate capital structures; and if ROE and equity ratio are set higher than comparable companies, </w:t>
      </w:r>
      <w:r w:rsidR="00266705">
        <w:t xml:space="preserve">the Company (and its customers) </w:t>
      </w:r>
      <w:r w:rsidR="00C05882">
        <w:t>risk paying more for capital than they need to.  Unfortunately, the Commission has not always paid close enough attention to proxy groups.</w:t>
      </w:r>
      <w:r w:rsidR="00552217">
        <w:t xml:space="preserve"> </w:t>
      </w:r>
      <w:r w:rsidR="0086363B">
        <w:t xml:space="preserve">For </w:t>
      </w:r>
      <w:r w:rsidR="0086363B">
        <w:lastRenderedPageBreak/>
        <w:t>example, i</w:t>
      </w:r>
      <w:r w:rsidR="00552217">
        <w:t>n Oncor’s recent rate case (Docket No. 5</w:t>
      </w:r>
      <w:r w:rsidR="00564DA7">
        <w:t>3601), the Commission’s open meeting discussion</w:t>
      </w:r>
      <w:r w:rsidR="0086363B">
        <w:t xml:space="preserve"> focused on the ROEs recently approved for other Texas utilities, even though </w:t>
      </w:r>
      <w:r w:rsidR="0086363B" w:rsidRPr="4B8DF13A">
        <w:rPr>
          <w:i/>
          <w:iCs/>
        </w:rPr>
        <w:t>none</w:t>
      </w:r>
      <w:r w:rsidR="0086363B">
        <w:t xml:space="preserve"> of the parties in the case had included </w:t>
      </w:r>
      <w:r w:rsidR="0086363B" w:rsidRPr="4B8DF13A">
        <w:rPr>
          <w:i/>
          <w:iCs/>
        </w:rPr>
        <w:t>any</w:t>
      </w:r>
      <w:r w:rsidR="0086363B">
        <w:t xml:space="preserve"> of those utilities in the proxy groups the</w:t>
      </w:r>
      <w:r w:rsidR="00C01686">
        <w:t>y</w:t>
      </w:r>
      <w:r w:rsidR="0086363B">
        <w:t xml:space="preserve"> used to formulate their ROE recommendations. </w:t>
      </w:r>
      <w:r w:rsidR="003E6415">
        <w:t xml:space="preserve">The utilities in Texas are </w:t>
      </w:r>
      <w:r w:rsidR="6ADDD43D">
        <w:t>different</w:t>
      </w:r>
      <w:r w:rsidR="003E6415">
        <w:t xml:space="preserve"> in important ways</w:t>
      </w:r>
      <w:r w:rsidR="00100F28">
        <w:t xml:space="preserve">—corporate structure, size, geography, weather risk, customer growth, and others—and </w:t>
      </w:r>
      <w:r w:rsidR="004A3BD7">
        <w:t>while parties often disagree on what constitutes an appropriate proxy group</w:t>
      </w:r>
      <w:r w:rsidR="005979C4">
        <w:t xml:space="preserve">, there is general consensus that </w:t>
      </w:r>
      <w:r w:rsidR="00DE5F38">
        <w:t>using</w:t>
      </w:r>
      <w:r w:rsidR="005979C4">
        <w:t xml:space="preserve"> </w:t>
      </w:r>
      <w:r w:rsidR="00DE5F38">
        <w:t xml:space="preserve">an </w:t>
      </w:r>
      <w:r w:rsidR="005979C4">
        <w:t>appropriate proxy group is</w:t>
      </w:r>
      <w:r w:rsidR="00DE5F38">
        <w:t xml:space="preserve"> </w:t>
      </w:r>
      <w:r w:rsidR="00452895">
        <w:t>a fundamental step in setting an appropriate ROE and capital structure.</w:t>
      </w:r>
      <w:r w:rsidR="6D92A456">
        <w:t xml:space="preserve">  As the Commission </w:t>
      </w:r>
      <w:r w:rsidR="00D61BD9">
        <w:t>considers capital</w:t>
      </w:r>
      <w:r w:rsidR="6D92A456">
        <w:t xml:space="preserve"> structure</w:t>
      </w:r>
      <w:r w:rsidR="23D9A7C5">
        <w:t xml:space="preserve"> (and ROE)</w:t>
      </w:r>
      <w:r w:rsidR="6D92A456">
        <w:t xml:space="preserve"> for CenterPoint Houston, it should do so with reference to an appropriate proxy group</w:t>
      </w:r>
      <w:r w:rsidR="3C8DC885">
        <w:t>, not simply by looking to its prior decisions for other Texas utilities.</w:t>
      </w:r>
      <w:r w:rsidR="00251FA7">
        <w:t xml:space="preserve"> </w:t>
      </w:r>
      <w:r w:rsidR="0D69A843">
        <w:t xml:space="preserve">If the Company’s </w:t>
      </w:r>
      <w:r w:rsidR="0D69A843" w:rsidRPr="4B8DF13A">
        <w:rPr>
          <w:i/>
          <w:iCs/>
        </w:rPr>
        <w:t xml:space="preserve">actual </w:t>
      </w:r>
      <w:r w:rsidR="0D69A843">
        <w:t>capital structure is in line with this proxy group, absent other evidence that it is unreasonable, it should be approved.  To ignore that proxy group evidence</w:t>
      </w:r>
      <w:r w:rsidR="7322B13F">
        <w:t xml:space="preserve">, set the equity </w:t>
      </w:r>
      <w:r w:rsidR="16FC6D4C">
        <w:t xml:space="preserve">ratio </w:t>
      </w:r>
      <w:r w:rsidR="7322B13F">
        <w:t>artificially low, and disallow the cost of capital actually incurred by the Company, is inconsistent with the Public Utility Regulatory Act.</w:t>
      </w:r>
    </w:p>
    <w:p w14:paraId="7937449C" w14:textId="44590ED8" w:rsidR="00FC19E6" w:rsidRPr="00225592" w:rsidRDefault="007E0ADD" w:rsidP="00225592">
      <w:pPr>
        <w:spacing w:line="480" w:lineRule="auto"/>
        <w:ind w:left="720" w:hanging="720"/>
        <w:rPr>
          <w:b/>
          <w:bCs/>
        </w:rPr>
      </w:pPr>
      <w:r w:rsidRPr="00225592">
        <w:rPr>
          <w:b/>
          <w:bCs/>
        </w:rPr>
        <w:t>Q.</w:t>
      </w:r>
      <w:r w:rsidRPr="00225592">
        <w:rPr>
          <w:b/>
          <w:bCs/>
        </w:rPr>
        <w:tab/>
        <w:t xml:space="preserve">WHAT ARE THE COMPANY’S OPTIONS IF </w:t>
      </w:r>
      <w:r w:rsidR="00D61BD9" w:rsidRPr="00225592">
        <w:rPr>
          <w:b/>
          <w:bCs/>
        </w:rPr>
        <w:t>THE EQUITY</w:t>
      </w:r>
      <w:r w:rsidRPr="00225592">
        <w:rPr>
          <w:b/>
          <w:bCs/>
        </w:rPr>
        <w:t xml:space="preserve"> RATIO IN ITS REGULATED CAPITAL STRUCTURE </w:t>
      </w:r>
      <w:r w:rsidR="481100B7" w:rsidRPr="00225592">
        <w:rPr>
          <w:b/>
          <w:bCs/>
        </w:rPr>
        <w:t xml:space="preserve">IS </w:t>
      </w:r>
      <w:r w:rsidRPr="00225592">
        <w:rPr>
          <w:b/>
          <w:bCs/>
        </w:rPr>
        <w:t>SET TOO LOW?</w:t>
      </w:r>
    </w:p>
    <w:p w14:paraId="2B39AD5B" w14:textId="037AEF58" w:rsidR="007E0ADD" w:rsidRDefault="007E0ADD" w:rsidP="00225592">
      <w:pPr>
        <w:spacing w:line="480" w:lineRule="auto"/>
        <w:ind w:left="720" w:hanging="720"/>
        <w:rPr>
          <w:b/>
        </w:rPr>
      </w:pPr>
      <w:r>
        <w:t xml:space="preserve">A. </w:t>
      </w:r>
      <w:r>
        <w:tab/>
      </w:r>
      <w:r w:rsidR="3400658D">
        <w:t xml:space="preserve">The </w:t>
      </w:r>
      <w:r>
        <w:t xml:space="preserve">Company has two options. </w:t>
      </w:r>
      <w:r w:rsidR="4224F726">
        <w:t>First,</w:t>
      </w:r>
      <w:r>
        <w:t xml:space="preserve"> </w:t>
      </w:r>
      <w:r w:rsidR="000C60C6">
        <w:t xml:space="preserve">The Company can attempt to </w:t>
      </w:r>
      <w:r w:rsidR="6A05E53E">
        <w:t xml:space="preserve">conform </w:t>
      </w:r>
      <w:r w:rsidR="000C60C6">
        <w:t xml:space="preserve">its </w:t>
      </w:r>
      <w:r w:rsidR="000C60C6" w:rsidRPr="4B8DF13A">
        <w:rPr>
          <w:i/>
          <w:iCs/>
        </w:rPr>
        <w:t xml:space="preserve">actual </w:t>
      </w:r>
      <w:r w:rsidR="000C60C6">
        <w:t xml:space="preserve">capital structure to </w:t>
      </w:r>
      <w:r w:rsidR="674A9ADB">
        <w:t xml:space="preserve">the Commission-approved </w:t>
      </w:r>
      <w:r w:rsidR="674A9ADB" w:rsidRPr="4B8DF13A">
        <w:rPr>
          <w:i/>
          <w:iCs/>
        </w:rPr>
        <w:t xml:space="preserve">hypothetical </w:t>
      </w:r>
      <w:r w:rsidR="000C60C6">
        <w:t>capital structure</w:t>
      </w:r>
      <w:r w:rsidR="0012028B">
        <w:t xml:space="preserve"> (</w:t>
      </w:r>
      <w:r w:rsidR="00425415">
        <w:t xml:space="preserve">and risk </w:t>
      </w:r>
      <w:r w:rsidR="00EC24A6">
        <w:t xml:space="preserve">increased debt costs or, in </w:t>
      </w:r>
      <w:r w:rsidR="007152E6">
        <w:t xml:space="preserve">extreme cases, </w:t>
      </w:r>
      <w:r w:rsidR="00E93C3F">
        <w:t>inability to access debt markets)</w:t>
      </w:r>
      <w:r w:rsidR="000C60C6">
        <w:t xml:space="preserve">, or </w:t>
      </w:r>
      <w:r w:rsidR="199A5FC3">
        <w:t>second,</w:t>
      </w:r>
      <w:r w:rsidR="000C60C6">
        <w:t xml:space="preserve"> it can maintain an </w:t>
      </w:r>
      <w:r w:rsidR="000C60C6" w:rsidRPr="4B8DF13A">
        <w:rPr>
          <w:i/>
          <w:iCs/>
        </w:rPr>
        <w:t xml:space="preserve">actual </w:t>
      </w:r>
      <w:r w:rsidR="000C60C6">
        <w:t xml:space="preserve">capital structure that continues to rely on a </w:t>
      </w:r>
      <w:r w:rsidR="000C60C6">
        <w:lastRenderedPageBreak/>
        <w:t xml:space="preserve">higher proportion of equity </w:t>
      </w:r>
      <w:r w:rsidR="00310441">
        <w:t>than the Commission used to set its rates</w:t>
      </w:r>
      <w:r w:rsidR="00DB20FB">
        <w:t xml:space="preserve"> (and thereby </w:t>
      </w:r>
      <w:r w:rsidR="002F5717">
        <w:t xml:space="preserve">likely </w:t>
      </w:r>
      <w:r w:rsidR="00CA79E6">
        <w:t xml:space="preserve">earn </w:t>
      </w:r>
      <w:r w:rsidR="002F5717">
        <w:t xml:space="preserve">below the </w:t>
      </w:r>
      <w:r w:rsidR="00CD5CBD">
        <w:t xml:space="preserve">Company’s </w:t>
      </w:r>
      <w:r w:rsidR="000E6E53">
        <w:t>authorized</w:t>
      </w:r>
      <w:r w:rsidR="00CD5CBD">
        <w:t xml:space="preserve"> ROE)</w:t>
      </w:r>
      <w:r w:rsidR="007F426A">
        <w:t>.</w:t>
      </w:r>
      <w:r w:rsidR="5437E416">
        <w:t xml:space="preserve"> </w:t>
      </w:r>
      <w:r w:rsidR="007F426A">
        <w:t xml:space="preserve"> </w:t>
      </w:r>
      <w:r w:rsidR="0010732D">
        <w:t>Neither option is a good one.</w:t>
      </w:r>
    </w:p>
    <w:p w14:paraId="371FF4E8" w14:textId="01F41835" w:rsidR="0010732D" w:rsidRPr="00225592" w:rsidRDefault="0010732D" w:rsidP="00225592">
      <w:pPr>
        <w:spacing w:line="480" w:lineRule="auto"/>
        <w:ind w:left="810" w:hanging="810"/>
        <w:rPr>
          <w:b/>
          <w:bCs/>
        </w:rPr>
      </w:pPr>
      <w:r w:rsidRPr="00225592">
        <w:rPr>
          <w:b/>
          <w:bCs/>
        </w:rPr>
        <w:t>Q.</w:t>
      </w:r>
      <w:r w:rsidRPr="00225592">
        <w:rPr>
          <w:b/>
          <w:bCs/>
        </w:rPr>
        <w:tab/>
        <w:t xml:space="preserve">WHAT IS WRONG WITH SIMPLY </w:t>
      </w:r>
      <w:r w:rsidR="30C6628B" w:rsidRPr="00225592">
        <w:rPr>
          <w:b/>
          <w:bCs/>
        </w:rPr>
        <w:t xml:space="preserve">CONFORMING </w:t>
      </w:r>
      <w:r w:rsidRPr="00225592">
        <w:rPr>
          <w:b/>
          <w:bCs/>
        </w:rPr>
        <w:t xml:space="preserve">THE COMPANY’S ACTUAL CAPITAL STRUCTURE TO </w:t>
      </w:r>
      <w:r w:rsidR="006F1253" w:rsidRPr="00225592">
        <w:rPr>
          <w:b/>
          <w:bCs/>
        </w:rPr>
        <w:t xml:space="preserve">THE </w:t>
      </w:r>
      <w:r w:rsidR="6B8F95A0" w:rsidRPr="00225592">
        <w:rPr>
          <w:b/>
          <w:bCs/>
        </w:rPr>
        <w:t xml:space="preserve">HYPOTHETICAL </w:t>
      </w:r>
      <w:r w:rsidR="006F1253" w:rsidRPr="00225592">
        <w:rPr>
          <w:b/>
          <w:bCs/>
        </w:rPr>
        <w:t>CAPITAL STRUCTURE?</w:t>
      </w:r>
    </w:p>
    <w:p w14:paraId="380F4312" w14:textId="5AA340B5" w:rsidR="006F1253" w:rsidRDefault="006F1253" w:rsidP="00225592">
      <w:pPr>
        <w:spacing w:line="480" w:lineRule="auto"/>
        <w:ind w:left="810" w:hanging="810"/>
        <w:rPr>
          <w:b/>
        </w:rPr>
      </w:pPr>
      <w:r>
        <w:t>A.</w:t>
      </w:r>
      <w:r>
        <w:tab/>
      </w:r>
      <w:r w:rsidR="00045C24">
        <w:t xml:space="preserve">When a utility carries too much debt in its capital </w:t>
      </w:r>
      <w:r w:rsidR="00597894">
        <w:t>structure, its</w:t>
      </w:r>
      <w:r w:rsidR="00550F19">
        <w:t xml:space="preserve"> credit ratings suffer.</w:t>
      </w:r>
      <w:r w:rsidR="00AF758E">
        <w:t xml:space="preserve"> </w:t>
      </w:r>
      <w:r w:rsidR="003D6CCE">
        <w:t xml:space="preserve">As </w:t>
      </w:r>
      <w:r w:rsidR="00DC50B4">
        <w:t>Company witness</w:t>
      </w:r>
      <w:r w:rsidR="00242DCD">
        <w:t xml:space="preserve"> </w:t>
      </w:r>
      <w:r w:rsidR="00C81913">
        <w:t>Jacqueline</w:t>
      </w:r>
      <w:r w:rsidR="08691B99">
        <w:t xml:space="preserve"> </w:t>
      </w:r>
      <w:r w:rsidR="00242DCD">
        <w:t xml:space="preserve">Richert explains in her testimony, </w:t>
      </w:r>
      <w:r w:rsidR="009D1223">
        <w:t xml:space="preserve">CenterPoint Houston’s credit ratings were lowered after the </w:t>
      </w:r>
      <w:r w:rsidR="00FE539A">
        <w:t xml:space="preserve">last rate case, at least in part due to the high debt ratio in its </w:t>
      </w:r>
      <w:r w:rsidR="1C61CFCA" w:rsidRPr="4B8DF13A">
        <w:rPr>
          <w:i/>
          <w:iCs/>
        </w:rPr>
        <w:t>hypothetical</w:t>
      </w:r>
      <w:r w:rsidR="00FA1F3C" w:rsidRPr="4B8DF13A">
        <w:rPr>
          <w:i/>
          <w:iCs/>
        </w:rPr>
        <w:t xml:space="preserve"> </w:t>
      </w:r>
      <w:r w:rsidR="00FE539A">
        <w:t xml:space="preserve">capital structure. </w:t>
      </w:r>
      <w:r w:rsidR="00FD2604">
        <w:t xml:space="preserve">Weaker credit ratings make it harder </w:t>
      </w:r>
      <w:r w:rsidR="00FF28C2">
        <w:t xml:space="preserve">and/or more expensive </w:t>
      </w:r>
      <w:r w:rsidR="00FD2604">
        <w:t xml:space="preserve">for CenterPoint Houston to obtain funds through either debt </w:t>
      </w:r>
      <w:r w:rsidR="00FD2604" w:rsidRPr="4B8DF13A">
        <w:rPr>
          <w:i/>
          <w:iCs/>
        </w:rPr>
        <w:t xml:space="preserve">or </w:t>
      </w:r>
      <w:r w:rsidR="00FF28C2">
        <w:t xml:space="preserve">equity. </w:t>
      </w:r>
      <w:r w:rsidR="0C4EDB3C">
        <w:t>Creditors</w:t>
      </w:r>
      <w:r w:rsidR="00FF28C2">
        <w:t xml:space="preserve"> and investors will both </w:t>
      </w:r>
      <w:r w:rsidR="00792B7D">
        <w:t xml:space="preserve">demand more in return for loaning </w:t>
      </w:r>
      <w:r w:rsidR="00301E4B">
        <w:t>to</w:t>
      </w:r>
      <w:r w:rsidR="68FDA97F">
        <w:t>,</w:t>
      </w:r>
      <w:r w:rsidR="00301E4B">
        <w:t xml:space="preserve"> </w:t>
      </w:r>
      <w:bookmarkStart w:id="16" w:name="_Int_FU2uBJRI"/>
      <w:r w:rsidR="00301E4B">
        <w:t>or</w:t>
      </w:r>
      <w:bookmarkEnd w:id="16"/>
      <w:r w:rsidR="00301E4B">
        <w:t xml:space="preserve"> investing in</w:t>
      </w:r>
      <w:r w:rsidR="1288B452">
        <w:t>,</w:t>
      </w:r>
      <w:r w:rsidR="00792B7D">
        <w:t xml:space="preserve"> a utility with a lower credit rating. That is a problem for any utility, but it is particularly a problem for </w:t>
      </w:r>
      <w:r w:rsidR="00A505CE">
        <w:t xml:space="preserve">CenterPoint Houston, which faces the yearly threat of devastating hurricanes that can necessitate </w:t>
      </w:r>
      <w:r w:rsidR="0B3DB713">
        <w:t xml:space="preserve">the unplanned </w:t>
      </w:r>
      <w:r w:rsidR="00A505CE">
        <w:t xml:space="preserve">borrowing </w:t>
      </w:r>
      <w:r w:rsidR="4EF78B89">
        <w:t>of</w:t>
      </w:r>
      <w:r w:rsidR="00A505CE">
        <w:t xml:space="preserve"> </w:t>
      </w:r>
      <w:r w:rsidR="00CA5248">
        <w:t xml:space="preserve">hundreds of millions of dollars to rebuild </w:t>
      </w:r>
      <w:r w:rsidR="60E9193D">
        <w:t>its system</w:t>
      </w:r>
      <w:r w:rsidR="00CA5248">
        <w:t xml:space="preserve">. It also increases the cost of </w:t>
      </w:r>
      <w:r w:rsidR="003332B2">
        <w:t xml:space="preserve">obtaining the funds to invest in hardening its system to mitigate the damage caused by hurricanes and other weather events. </w:t>
      </w:r>
      <w:r w:rsidR="000213E6">
        <w:t>Ultimately,</w:t>
      </w:r>
      <w:r w:rsidR="00AD2851">
        <w:t xml:space="preserve"> our customers end up paying more. </w:t>
      </w:r>
    </w:p>
    <w:p w14:paraId="4EFB43E3" w14:textId="12F16B34" w:rsidR="00AD2851" w:rsidRPr="00225592" w:rsidRDefault="00AD2851" w:rsidP="00225592">
      <w:pPr>
        <w:spacing w:line="480" w:lineRule="auto"/>
        <w:ind w:left="810" w:hanging="810"/>
        <w:rPr>
          <w:b/>
          <w:bCs/>
        </w:rPr>
      </w:pPr>
      <w:r w:rsidRPr="00225592">
        <w:rPr>
          <w:b/>
          <w:bCs/>
        </w:rPr>
        <w:t>Q.</w:t>
      </w:r>
      <w:r w:rsidRPr="00225592">
        <w:rPr>
          <w:b/>
          <w:bCs/>
        </w:rPr>
        <w:tab/>
        <w:t xml:space="preserve">WHY CAN’T THE COMPANY SIMPLY MAINTAIN </w:t>
      </w:r>
      <w:r w:rsidR="00D709D1" w:rsidRPr="00225592">
        <w:rPr>
          <w:b/>
          <w:bCs/>
        </w:rPr>
        <w:t xml:space="preserve">A HIGHER ACTUAL EQUITY RATIO THAN THE ONE </w:t>
      </w:r>
      <w:r w:rsidR="00310441" w:rsidRPr="00225592">
        <w:rPr>
          <w:b/>
          <w:bCs/>
        </w:rPr>
        <w:t>USED TO SET ITS RATES</w:t>
      </w:r>
      <w:r w:rsidR="00D709D1" w:rsidRPr="00225592">
        <w:rPr>
          <w:b/>
          <w:bCs/>
        </w:rPr>
        <w:t>?</w:t>
      </w:r>
    </w:p>
    <w:p w14:paraId="502A397D" w14:textId="52CEA8EA" w:rsidR="00D709D1" w:rsidRDefault="00D709D1" w:rsidP="00225592">
      <w:pPr>
        <w:spacing w:line="480" w:lineRule="auto"/>
        <w:ind w:left="720" w:hanging="720"/>
        <w:rPr>
          <w:b/>
        </w:rPr>
      </w:pPr>
      <w:r>
        <w:t>A.</w:t>
      </w:r>
      <w:r>
        <w:tab/>
      </w:r>
      <w:r w:rsidR="00360ADA">
        <w:t xml:space="preserve">Neither the Public Utility Regulatory Act nor the Commission’s rules </w:t>
      </w:r>
      <w:r w:rsidR="000336D6">
        <w:t>expressly require</w:t>
      </w:r>
      <w:r w:rsidR="00810B85">
        <w:t>s</w:t>
      </w:r>
      <w:r w:rsidR="000336D6">
        <w:t xml:space="preserve"> CenterPoint Houston </w:t>
      </w:r>
      <w:r w:rsidR="00A95EC2">
        <w:t xml:space="preserve">to make its </w:t>
      </w:r>
      <w:r w:rsidR="00A95EC2" w:rsidRPr="4B8DF13A">
        <w:rPr>
          <w:i/>
          <w:iCs/>
        </w:rPr>
        <w:t xml:space="preserve">actual </w:t>
      </w:r>
      <w:r w:rsidR="00A95EC2">
        <w:t xml:space="preserve">capital structure match </w:t>
      </w:r>
      <w:r w:rsidR="4EBDBA55">
        <w:t xml:space="preserve">an imposed </w:t>
      </w:r>
      <w:r w:rsidR="4EBDBA55" w:rsidRPr="4B8DF13A">
        <w:rPr>
          <w:i/>
          <w:iCs/>
        </w:rPr>
        <w:t xml:space="preserve">hypothetical </w:t>
      </w:r>
      <w:r w:rsidR="00A95EC2">
        <w:t>capital structure</w:t>
      </w:r>
      <w:r w:rsidR="00A8575E">
        <w:t xml:space="preserve">. However, </w:t>
      </w:r>
      <w:r w:rsidR="00024A5A">
        <w:t xml:space="preserve">because </w:t>
      </w:r>
      <w:r w:rsidR="3318388D">
        <w:t xml:space="preserve">the Company </w:t>
      </w:r>
      <w:r w:rsidR="00A8575E">
        <w:t xml:space="preserve">actually obtains </w:t>
      </w:r>
      <w:r w:rsidR="00024A5A">
        <w:lastRenderedPageBreak/>
        <w:t xml:space="preserve">closer to </w:t>
      </w:r>
      <w:r w:rsidR="00A8575E">
        <w:t xml:space="preserve">45% </w:t>
      </w:r>
      <w:r w:rsidR="00A11B55">
        <w:t>of its</w:t>
      </w:r>
      <w:r w:rsidR="00A8575E">
        <w:t xml:space="preserve"> capital </w:t>
      </w:r>
      <w:r w:rsidR="00865449">
        <w:t xml:space="preserve">through higher-priced equity when its rates have been set assuming that it will raise only 42.5% of its capital through equity, </w:t>
      </w:r>
      <w:r w:rsidR="0038164F">
        <w:t>the Company’s rates are not fully compensating the Company (and its investors)</w:t>
      </w:r>
      <w:r w:rsidR="006B65A8">
        <w:t xml:space="preserve"> for </w:t>
      </w:r>
      <w:r w:rsidR="00566DDC">
        <w:t>the incremental 2.5%</w:t>
      </w:r>
      <w:r w:rsidR="00AD285D">
        <w:t xml:space="preserve"> of</w:t>
      </w:r>
      <w:r w:rsidR="00566DDC">
        <w:t xml:space="preserve"> equity content</w:t>
      </w:r>
      <w:r w:rsidR="006B65A8">
        <w:t xml:space="preserve"> of its capital costs. The Company</w:t>
      </w:r>
      <w:r w:rsidR="00024A5A">
        <w:t xml:space="preserve"> </w:t>
      </w:r>
      <w:r w:rsidR="4601BBB9">
        <w:t>is</w:t>
      </w:r>
      <w:r w:rsidR="00AD285D">
        <w:t xml:space="preserve"> </w:t>
      </w:r>
      <w:r w:rsidR="0B0D374F">
        <w:t>accessing</w:t>
      </w:r>
      <w:r w:rsidR="00AD285D">
        <w:t xml:space="preserve"> </w:t>
      </w:r>
      <w:bookmarkStart w:id="17" w:name="_Int_4ZUJCaCI"/>
      <w:r w:rsidR="00ED6482">
        <w:t>the incremental</w:t>
      </w:r>
      <w:bookmarkEnd w:id="17"/>
      <w:r w:rsidR="00ED6482">
        <w:t xml:space="preserve"> </w:t>
      </w:r>
      <w:r w:rsidR="00F67219">
        <w:t xml:space="preserve">capital </w:t>
      </w:r>
      <w:r w:rsidR="5E16AF41">
        <w:t>through</w:t>
      </w:r>
      <w:r w:rsidR="00ED6482">
        <w:t xml:space="preserve"> </w:t>
      </w:r>
      <w:r w:rsidR="00F67219">
        <w:t xml:space="preserve">higher cost equity </w:t>
      </w:r>
      <w:r w:rsidR="00091C41">
        <w:t>capital,</w:t>
      </w:r>
      <w:r w:rsidR="00F67219">
        <w:t xml:space="preserve"> but only being reimbursed through rates at the lower cost </w:t>
      </w:r>
      <w:r w:rsidR="00886AA5">
        <w:t xml:space="preserve">of debt </w:t>
      </w:r>
      <w:r w:rsidR="737C75E8">
        <w:t>capital.</w:t>
      </w:r>
      <w:r w:rsidR="006B44F9">
        <w:t xml:space="preserve"> </w:t>
      </w:r>
      <w:r w:rsidR="61792132">
        <w:t xml:space="preserve"> In other words, by not allowing the Company to recover its actual cost of capital by recognizing the </w:t>
      </w:r>
      <w:r w:rsidR="61792132" w:rsidRPr="4B8DF13A">
        <w:rPr>
          <w:i/>
          <w:iCs/>
        </w:rPr>
        <w:t xml:space="preserve">actual </w:t>
      </w:r>
      <w:r w:rsidR="61792132">
        <w:t>capital structure in rates, the Commission is disallowing a portion of that cost of capital</w:t>
      </w:r>
      <w:r w:rsidR="4AB0F004">
        <w:t>.  This is true even though there has never been a finding that the Company’s actual capital structure is imprudent or unreasonable.  It is fairly unprecedented for a</w:t>
      </w:r>
      <w:r w:rsidR="23041AE6">
        <w:t xml:space="preserve"> disallowance to occur without such a finding.  </w:t>
      </w:r>
    </w:p>
    <w:p w14:paraId="6139C944" w14:textId="6084CE9A" w:rsidR="00200B5F" w:rsidRPr="00225592" w:rsidRDefault="00024A5A" w:rsidP="008C467D">
      <w:pPr>
        <w:spacing w:line="480" w:lineRule="auto"/>
        <w:ind w:left="720" w:hanging="720"/>
        <w:rPr>
          <w:b/>
          <w:bCs/>
        </w:rPr>
      </w:pPr>
      <w:r w:rsidRPr="00225592">
        <w:rPr>
          <w:b/>
          <w:bCs/>
        </w:rPr>
        <w:t>Q</w:t>
      </w:r>
      <w:r w:rsidR="206BF53A" w:rsidRPr="00225592">
        <w:rPr>
          <w:b/>
          <w:bCs/>
        </w:rPr>
        <w:t>.</w:t>
      </w:r>
      <w:r w:rsidRPr="00225592">
        <w:rPr>
          <w:b/>
          <w:bCs/>
        </w:rPr>
        <w:tab/>
        <w:t xml:space="preserve">IS IT POSSIBLE TO QUANTIFY THE </w:t>
      </w:r>
      <w:r w:rsidR="00200B5F" w:rsidRPr="00225592">
        <w:rPr>
          <w:b/>
          <w:bCs/>
        </w:rPr>
        <w:t xml:space="preserve">COST OF THE MISMATCH BETWEEN THE COMPANY’S </w:t>
      </w:r>
      <w:r w:rsidR="00200B5F" w:rsidRPr="00225592">
        <w:rPr>
          <w:b/>
          <w:bCs/>
          <w:i/>
          <w:iCs/>
        </w:rPr>
        <w:t xml:space="preserve">ACTUAL </w:t>
      </w:r>
      <w:r w:rsidR="00200B5F" w:rsidRPr="00225592">
        <w:rPr>
          <w:b/>
          <w:bCs/>
        </w:rPr>
        <w:t xml:space="preserve">CAPITAL STRUCTURE AND THE </w:t>
      </w:r>
      <w:r w:rsidR="135D09D4" w:rsidRPr="00225592">
        <w:rPr>
          <w:b/>
          <w:bCs/>
          <w:i/>
          <w:iCs/>
        </w:rPr>
        <w:t xml:space="preserve">HYPOTHETICAL </w:t>
      </w:r>
      <w:r w:rsidR="00200B5F" w:rsidRPr="00225592">
        <w:rPr>
          <w:b/>
          <w:bCs/>
        </w:rPr>
        <w:t xml:space="preserve">CAPITAL STRUCTURE USED TO SET CENTERPOINT HOUSTON’S </w:t>
      </w:r>
      <w:r w:rsidR="399EB8CF" w:rsidRPr="00225592">
        <w:rPr>
          <w:b/>
          <w:bCs/>
        </w:rPr>
        <w:t xml:space="preserve">CURRENT </w:t>
      </w:r>
      <w:r w:rsidR="00200B5F" w:rsidRPr="00225592">
        <w:rPr>
          <w:b/>
          <w:bCs/>
        </w:rPr>
        <w:t>RATES?</w:t>
      </w:r>
    </w:p>
    <w:p w14:paraId="52C9CEE6" w14:textId="14B5D5C4" w:rsidR="00200B5F" w:rsidRDefault="00200B5F" w:rsidP="008C467D">
      <w:pPr>
        <w:spacing w:line="480" w:lineRule="auto"/>
        <w:ind w:left="810" w:hanging="810"/>
        <w:rPr>
          <w:b/>
        </w:rPr>
      </w:pPr>
      <w:r>
        <w:t>A</w:t>
      </w:r>
      <w:r w:rsidR="4D627D47">
        <w:t>.</w:t>
      </w:r>
      <w:r>
        <w:tab/>
        <w:t>Yes. All other things being equal, if CenterPoint Houston’s actual equity ratio is 45%, but the Commission uses a 42.5% equity ratio to set the Company’s rates (as</w:t>
      </w:r>
      <w:r w:rsidR="601554DA">
        <w:t xml:space="preserve"> reflected in the Company’s current rates</w:t>
      </w:r>
      <w:r>
        <w:t xml:space="preserve">), the Company under recovers its annual </w:t>
      </w:r>
      <w:r w:rsidR="00781AD1">
        <w:t xml:space="preserve">equity </w:t>
      </w:r>
      <w:r w:rsidR="2F675FE0">
        <w:t xml:space="preserve">costs </w:t>
      </w:r>
      <w:r w:rsidR="002C551D">
        <w:t>by</w:t>
      </w:r>
      <w:r>
        <w:t xml:space="preserve"> </w:t>
      </w:r>
      <w:r w:rsidR="00D2784A">
        <w:t xml:space="preserve">approximately </w:t>
      </w:r>
      <w:r>
        <w:t>$</w:t>
      </w:r>
      <w:r w:rsidR="002C551D">
        <w:t xml:space="preserve">30 </w:t>
      </w:r>
      <w:r>
        <w:t>million dollars</w:t>
      </w:r>
      <w:r w:rsidR="002C551D">
        <w:t xml:space="preserve">, </w:t>
      </w:r>
      <w:r w:rsidR="0A216CE1">
        <w:t>as illustrated by the</w:t>
      </w:r>
      <w:r w:rsidR="002C551D">
        <w:t xml:space="preserve"> year end 2023</w:t>
      </w:r>
      <w:r w:rsidR="60E86F47">
        <w:t xml:space="preserve"> example</w:t>
      </w:r>
      <w:r w:rsidR="00F20622">
        <w:t xml:space="preserve"> </w:t>
      </w:r>
      <w:r w:rsidR="2FDD18A3">
        <w:t xml:space="preserve">in Figure </w:t>
      </w:r>
      <w:r w:rsidR="3F67C773">
        <w:t>JMR-10</w:t>
      </w:r>
      <w:r w:rsidR="2FDD18A3">
        <w:t xml:space="preserve">, </w:t>
      </w:r>
      <w:r w:rsidR="543EF9E7">
        <w:t>below</w:t>
      </w:r>
      <w:r w:rsidR="6807675C">
        <w:t>.</w:t>
      </w:r>
      <w:r w:rsidR="007708F6">
        <w:t xml:space="preserve"> The company is funding at</w:t>
      </w:r>
      <w:r w:rsidR="3879B864">
        <w:t xml:space="preserve"> a</w:t>
      </w:r>
      <w:r w:rsidR="007708F6">
        <w:t xml:space="preserve"> 45% equity layer but only receiving an annual ROE on </w:t>
      </w:r>
      <w:r w:rsidR="100DED34">
        <w:t xml:space="preserve">a </w:t>
      </w:r>
      <w:r w:rsidR="007708F6">
        <w:t xml:space="preserve">42.5% </w:t>
      </w:r>
      <w:r w:rsidR="00B21E04">
        <w:t>equity layer.</w:t>
      </w:r>
      <w:r>
        <w:t xml:space="preserve"> </w:t>
      </w:r>
    </w:p>
    <w:p w14:paraId="7F004156" w14:textId="77777777" w:rsidR="00343E75" w:rsidRDefault="00343E75" w:rsidP="00343E75">
      <w:pPr>
        <w:suppressLineNumbers/>
        <w:ind w:left="720" w:right="720"/>
        <w:jc w:val="left"/>
        <w:rPr>
          <w:b/>
        </w:rPr>
      </w:pPr>
      <w:r>
        <w:rPr>
          <w:b/>
        </w:rPr>
        <w:br w:type="page"/>
      </w:r>
    </w:p>
    <w:p w14:paraId="18D2B2FF" w14:textId="3E2A7CBD" w:rsidR="00D2784A" w:rsidRPr="00064446" w:rsidRDefault="008C3FA3" w:rsidP="008E5BEB">
      <w:pPr>
        <w:jc w:val="center"/>
        <w:rPr>
          <w:b/>
        </w:rPr>
      </w:pPr>
      <w:r w:rsidRPr="00064446">
        <w:rPr>
          <w:b/>
        </w:rPr>
        <w:lastRenderedPageBreak/>
        <w:t>Figure JMR-</w:t>
      </w:r>
      <w:r w:rsidR="4CE30D36" w:rsidRPr="6FC8F048">
        <w:rPr>
          <w:b/>
          <w:bCs/>
        </w:rPr>
        <w:t>10</w:t>
      </w:r>
    </w:p>
    <w:p w14:paraId="5FC2485B" w14:textId="418FB713" w:rsidR="00466AC4" w:rsidRPr="00064446" w:rsidRDefault="008858CF" w:rsidP="008C467D">
      <w:pPr>
        <w:spacing w:line="480" w:lineRule="auto"/>
        <w:jc w:val="center"/>
        <w:rPr>
          <w:b/>
        </w:rPr>
      </w:pPr>
      <w:r w:rsidRPr="00064446">
        <w:rPr>
          <w:b/>
        </w:rPr>
        <w:t>Actual versus Commission</w:t>
      </w:r>
      <w:r w:rsidR="00927C10">
        <w:rPr>
          <w:b/>
        </w:rPr>
        <w:t>-</w:t>
      </w:r>
      <w:r w:rsidRPr="00064446">
        <w:rPr>
          <w:b/>
        </w:rPr>
        <w:t xml:space="preserve">Established Capital </w:t>
      </w:r>
      <w:r w:rsidRPr="00064446">
        <w:rPr>
          <w:b/>
          <w:bCs/>
        </w:rPr>
        <w:t>Stru</w:t>
      </w:r>
      <w:r w:rsidR="00332CE5" w:rsidRPr="00064446">
        <w:rPr>
          <w:b/>
          <w:bCs/>
        </w:rPr>
        <w:t>cture</w:t>
      </w:r>
    </w:p>
    <w:tbl>
      <w:tblPr>
        <w:tblW w:w="8201" w:type="dxa"/>
        <w:tblInd w:w="1149" w:type="dxa"/>
        <w:tblCellMar>
          <w:left w:w="0" w:type="dxa"/>
          <w:right w:w="0" w:type="dxa"/>
        </w:tblCellMar>
        <w:tblLook w:val="04A0" w:firstRow="1" w:lastRow="0" w:firstColumn="1" w:lastColumn="0" w:noHBand="0" w:noVBand="1"/>
      </w:tblPr>
      <w:tblGrid>
        <w:gridCol w:w="2900"/>
        <w:gridCol w:w="1266"/>
        <w:gridCol w:w="335"/>
        <w:gridCol w:w="1736"/>
        <w:gridCol w:w="287"/>
        <w:gridCol w:w="1677"/>
      </w:tblGrid>
      <w:tr w:rsidR="002C551D" w14:paraId="532EB469" w14:textId="77777777" w:rsidTr="5103626C">
        <w:trPr>
          <w:trHeight w:val="293"/>
        </w:trPr>
        <w:tc>
          <w:tcPr>
            <w:tcW w:w="2900" w:type="dxa"/>
            <w:tcBorders>
              <w:top w:val="single" w:sz="4" w:space="0" w:color="auto"/>
              <w:left w:val="single" w:sz="4" w:space="0" w:color="auto"/>
              <w:bottom w:val="nil"/>
              <w:right w:val="nil"/>
            </w:tcBorders>
            <w:shd w:val="clear" w:color="auto" w:fill="auto"/>
            <w:noWrap/>
            <w:tcMar>
              <w:top w:w="15" w:type="dxa"/>
              <w:left w:w="15" w:type="dxa"/>
              <w:bottom w:w="0" w:type="dxa"/>
              <w:right w:w="15" w:type="dxa"/>
            </w:tcMar>
            <w:vAlign w:val="bottom"/>
            <w:hideMark/>
          </w:tcPr>
          <w:p w14:paraId="59CE8B65" w14:textId="77777777" w:rsidR="00D2784A" w:rsidRDefault="00D2784A">
            <w:pPr>
              <w:jc w:val="left"/>
              <w:rPr>
                <w:rFonts w:ascii="Calibri" w:hAnsi="Calibri" w:cs="Calibri"/>
                <w:sz w:val="22"/>
                <w:szCs w:val="22"/>
              </w:rPr>
            </w:pPr>
            <w:r w:rsidRPr="5103626C">
              <w:rPr>
                <w:rFonts w:ascii="Calibri" w:hAnsi="Calibri" w:cs="Calibri"/>
                <w:sz w:val="22"/>
                <w:szCs w:val="22"/>
              </w:rPr>
              <w:t>Capital as of Dec, 2023</w:t>
            </w:r>
          </w:p>
        </w:tc>
        <w:tc>
          <w:tcPr>
            <w:tcW w:w="1266" w:type="dxa"/>
            <w:tcBorders>
              <w:top w:val="single" w:sz="4" w:space="0" w:color="auto"/>
              <w:left w:val="nil"/>
              <w:bottom w:val="nil"/>
              <w:right w:val="nil"/>
            </w:tcBorders>
            <w:shd w:val="clear" w:color="auto" w:fill="auto"/>
            <w:noWrap/>
            <w:tcMar>
              <w:top w:w="15" w:type="dxa"/>
              <w:left w:w="15" w:type="dxa"/>
              <w:bottom w:w="0" w:type="dxa"/>
              <w:right w:w="15" w:type="dxa"/>
            </w:tcMar>
            <w:vAlign w:val="bottom"/>
            <w:hideMark/>
          </w:tcPr>
          <w:p w14:paraId="63C68724" w14:textId="77777777" w:rsidR="00D2784A" w:rsidRDefault="00D2784A">
            <w:pPr>
              <w:rPr>
                <w:rFonts w:ascii="Calibri" w:hAnsi="Calibri" w:cs="Calibri"/>
                <w:sz w:val="22"/>
                <w:szCs w:val="22"/>
              </w:rPr>
            </w:pPr>
            <w:r w:rsidRPr="5103626C">
              <w:rPr>
                <w:rFonts w:ascii="Calibri" w:hAnsi="Calibri" w:cs="Calibri"/>
                <w:sz w:val="22"/>
                <w:szCs w:val="22"/>
              </w:rPr>
              <w:t> </w:t>
            </w:r>
          </w:p>
        </w:tc>
        <w:tc>
          <w:tcPr>
            <w:tcW w:w="335" w:type="dxa"/>
            <w:tcBorders>
              <w:top w:val="single" w:sz="4" w:space="0" w:color="auto"/>
              <w:left w:val="nil"/>
              <w:bottom w:val="nil"/>
              <w:right w:val="nil"/>
            </w:tcBorders>
            <w:shd w:val="clear" w:color="auto" w:fill="auto"/>
            <w:noWrap/>
            <w:tcMar>
              <w:top w:w="15" w:type="dxa"/>
              <w:left w:w="15" w:type="dxa"/>
              <w:bottom w:w="0" w:type="dxa"/>
              <w:right w:w="15" w:type="dxa"/>
            </w:tcMar>
            <w:vAlign w:val="bottom"/>
            <w:hideMark/>
          </w:tcPr>
          <w:p w14:paraId="523B6E08" w14:textId="77777777" w:rsidR="00D2784A" w:rsidRDefault="00D2784A">
            <w:pPr>
              <w:rPr>
                <w:rFonts w:ascii="Calibri" w:hAnsi="Calibri" w:cs="Calibri"/>
                <w:sz w:val="22"/>
                <w:szCs w:val="22"/>
              </w:rPr>
            </w:pPr>
            <w:r w:rsidRPr="5103626C">
              <w:rPr>
                <w:rFonts w:ascii="Calibri" w:hAnsi="Calibri" w:cs="Calibri"/>
                <w:sz w:val="22"/>
                <w:szCs w:val="22"/>
              </w:rPr>
              <w:t> </w:t>
            </w:r>
          </w:p>
        </w:tc>
        <w:tc>
          <w:tcPr>
            <w:tcW w:w="1736" w:type="dxa"/>
            <w:tcBorders>
              <w:top w:val="single" w:sz="4" w:space="0" w:color="auto"/>
              <w:left w:val="nil"/>
              <w:bottom w:val="nil"/>
              <w:right w:val="nil"/>
            </w:tcBorders>
            <w:shd w:val="clear" w:color="auto" w:fill="002060"/>
            <w:noWrap/>
            <w:tcMar>
              <w:top w:w="15" w:type="dxa"/>
              <w:left w:w="15" w:type="dxa"/>
              <w:bottom w:w="0" w:type="dxa"/>
              <w:right w:w="15" w:type="dxa"/>
            </w:tcMar>
            <w:vAlign w:val="bottom"/>
            <w:hideMark/>
          </w:tcPr>
          <w:p w14:paraId="4CF90FB5" w14:textId="77777777" w:rsidR="00D2784A" w:rsidRDefault="00D2784A">
            <w:pPr>
              <w:rPr>
                <w:rFonts w:ascii="Calibri" w:hAnsi="Calibri" w:cs="Calibri"/>
                <w:b/>
                <w:bCs/>
                <w:color w:val="FFFFFF"/>
                <w:sz w:val="22"/>
                <w:szCs w:val="22"/>
              </w:rPr>
            </w:pPr>
            <w:r w:rsidRPr="5103626C">
              <w:rPr>
                <w:rFonts w:ascii="Calibri" w:hAnsi="Calibri" w:cs="Calibri"/>
                <w:b/>
                <w:bCs/>
                <w:color w:val="FFFFFF" w:themeColor="background1"/>
                <w:sz w:val="22"/>
                <w:szCs w:val="22"/>
              </w:rPr>
              <w:t> </w:t>
            </w:r>
          </w:p>
        </w:tc>
        <w:tc>
          <w:tcPr>
            <w:tcW w:w="287" w:type="dxa"/>
            <w:tcBorders>
              <w:top w:val="single" w:sz="4" w:space="0" w:color="auto"/>
              <w:left w:val="nil"/>
              <w:bottom w:val="nil"/>
              <w:right w:val="nil"/>
            </w:tcBorders>
            <w:shd w:val="clear" w:color="auto" w:fill="auto"/>
            <w:noWrap/>
            <w:tcMar>
              <w:top w:w="15" w:type="dxa"/>
              <w:left w:w="15" w:type="dxa"/>
              <w:bottom w:w="0" w:type="dxa"/>
              <w:right w:w="15" w:type="dxa"/>
            </w:tcMar>
            <w:vAlign w:val="bottom"/>
            <w:hideMark/>
          </w:tcPr>
          <w:p w14:paraId="09DC74B0" w14:textId="77777777" w:rsidR="00D2784A" w:rsidRDefault="00D2784A">
            <w:pPr>
              <w:rPr>
                <w:rFonts w:ascii="Calibri" w:hAnsi="Calibri" w:cs="Calibri"/>
                <w:sz w:val="22"/>
                <w:szCs w:val="22"/>
              </w:rPr>
            </w:pPr>
            <w:r w:rsidRPr="5103626C">
              <w:rPr>
                <w:rFonts w:ascii="Calibri" w:hAnsi="Calibri" w:cs="Calibri"/>
                <w:sz w:val="22"/>
                <w:szCs w:val="22"/>
              </w:rPr>
              <w:t> </w:t>
            </w:r>
          </w:p>
        </w:tc>
        <w:tc>
          <w:tcPr>
            <w:tcW w:w="1677" w:type="dxa"/>
            <w:tcBorders>
              <w:top w:val="single" w:sz="4" w:space="0" w:color="auto"/>
              <w:left w:val="nil"/>
              <w:bottom w:val="nil"/>
              <w:right w:val="single" w:sz="4" w:space="0" w:color="auto"/>
            </w:tcBorders>
            <w:shd w:val="clear" w:color="auto" w:fill="002060"/>
            <w:noWrap/>
            <w:tcMar>
              <w:top w:w="15" w:type="dxa"/>
              <w:left w:w="15" w:type="dxa"/>
              <w:bottom w:w="0" w:type="dxa"/>
              <w:right w:w="15" w:type="dxa"/>
            </w:tcMar>
            <w:vAlign w:val="bottom"/>
            <w:hideMark/>
          </w:tcPr>
          <w:p w14:paraId="697546EC" w14:textId="77777777" w:rsidR="00D2784A" w:rsidRDefault="00D2784A">
            <w:pPr>
              <w:jc w:val="center"/>
              <w:rPr>
                <w:rFonts w:ascii="Calibri" w:hAnsi="Calibri" w:cs="Calibri"/>
                <w:b/>
                <w:bCs/>
                <w:color w:val="FFFFFF"/>
                <w:sz w:val="22"/>
                <w:szCs w:val="22"/>
              </w:rPr>
            </w:pPr>
            <w:r w:rsidRPr="5103626C">
              <w:rPr>
                <w:rFonts w:ascii="Calibri" w:hAnsi="Calibri" w:cs="Calibri"/>
                <w:b/>
                <w:bCs/>
                <w:color w:val="FFFFFF" w:themeColor="background1"/>
                <w:sz w:val="22"/>
                <w:szCs w:val="22"/>
              </w:rPr>
              <w:t> </w:t>
            </w:r>
          </w:p>
        </w:tc>
      </w:tr>
      <w:tr w:rsidR="002C551D" w14:paraId="747BDE50" w14:textId="77777777" w:rsidTr="5103626C">
        <w:trPr>
          <w:trHeight w:val="308"/>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bottom"/>
            <w:hideMark/>
          </w:tcPr>
          <w:p w14:paraId="41CBF078" w14:textId="77777777" w:rsidR="00D2784A" w:rsidRDefault="00D2784A">
            <w:pPr>
              <w:jc w:val="left"/>
              <w:rPr>
                <w:rFonts w:ascii="Calibri" w:hAnsi="Calibri" w:cs="Calibri"/>
                <w:sz w:val="18"/>
                <w:szCs w:val="18"/>
              </w:rPr>
            </w:pPr>
            <w:r w:rsidRPr="5103626C">
              <w:rPr>
                <w:rFonts w:ascii="Calibri" w:hAnsi="Calibri" w:cs="Calibri"/>
                <w:sz w:val="18"/>
                <w:szCs w:val="18"/>
              </w:rPr>
              <w:t>(in millions)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7D4FAA5" w14:textId="77777777" w:rsidR="00D2784A" w:rsidRDefault="00D2784A">
            <w:pPr>
              <w:rPr>
                <w:rFonts w:ascii="Calibri" w:hAnsi="Calibri" w:cs="Calibri"/>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0A0579E" w14:textId="77777777" w:rsidR="00D2784A" w:rsidRDefault="00D2784A">
            <w:pPr>
              <w:rPr>
                <w:sz w:val="20"/>
                <w:szCs w:val="20"/>
              </w:rPr>
            </w:pPr>
          </w:p>
        </w:tc>
        <w:tc>
          <w:tcPr>
            <w:tcW w:w="0" w:type="auto"/>
            <w:tcBorders>
              <w:top w:val="nil"/>
              <w:left w:val="nil"/>
              <w:bottom w:val="nil"/>
              <w:right w:val="nil"/>
            </w:tcBorders>
            <w:shd w:val="clear" w:color="auto" w:fill="002060"/>
            <w:noWrap/>
            <w:tcMar>
              <w:top w:w="15" w:type="dxa"/>
              <w:left w:w="15" w:type="dxa"/>
              <w:bottom w:w="0" w:type="dxa"/>
              <w:right w:w="15" w:type="dxa"/>
            </w:tcMar>
            <w:vAlign w:val="bottom"/>
            <w:hideMark/>
          </w:tcPr>
          <w:p w14:paraId="324E33C6" w14:textId="77777777" w:rsidR="00D2784A" w:rsidRDefault="00D2784A">
            <w:pPr>
              <w:jc w:val="center"/>
              <w:rPr>
                <w:rFonts w:ascii="Calibri" w:hAnsi="Calibri" w:cs="Calibri"/>
                <w:b/>
                <w:bCs/>
                <w:color w:val="FFFFFF"/>
                <w:sz w:val="22"/>
                <w:szCs w:val="22"/>
              </w:rPr>
            </w:pPr>
            <w:r w:rsidRPr="5103626C">
              <w:rPr>
                <w:rFonts w:ascii="Calibri" w:hAnsi="Calibri" w:cs="Calibri"/>
                <w:b/>
                <w:bCs/>
                <w:color w:val="FFFFFF" w:themeColor="background1"/>
                <w:sz w:val="22"/>
                <w:szCs w:val="22"/>
              </w:rPr>
              <w:t>ACTUAL</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24F191" w14:textId="77777777" w:rsidR="00D2784A" w:rsidRDefault="00D2784A">
            <w:pPr>
              <w:jc w:val="center"/>
              <w:rPr>
                <w:rFonts w:ascii="Calibri" w:hAnsi="Calibri" w:cs="Calibri"/>
                <w:b/>
                <w:bCs/>
                <w:color w:val="FFFFFF"/>
                <w:sz w:val="22"/>
                <w:szCs w:val="22"/>
              </w:rPr>
            </w:pPr>
          </w:p>
        </w:tc>
        <w:tc>
          <w:tcPr>
            <w:tcW w:w="0" w:type="auto"/>
            <w:tcBorders>
              <w:top w:val="nil"/>
              <w:left w:val="nil"/>
              <w:bottom w:val="nil"/>
              <w:right w:val="single" w:sz="4" w:space="0" w:color="auto"/>
            </w:tcBorders>
            <w:shd w:val="clear" w:color="auto" w:fill="002060"/>
            <w:noWrap/>
            <w:tcMar>
              <w:top w:w="15" w:type="dxa"/>
              <w:left w:w="15" w:type="dxa"/>
              <w:bottom w:w="0" w:type="dxa"/>
              <w:right w:w="15" w:type="dxa"/>
            </w:tcMar>
            <w:vAlign w:val="bottom"/>
            <w:hideMark/>
          </w:tcPr>
          <w:p w14:paraId="0D544230" w14:textId="77777777" w:rsidR="00D2784A" w:rsidRDefault="00D2784A">
            <w:pPr>
              <w:jc w:val="center"/>
              <w:rPr>
                <w:rFonts w:ascii="Calibri" w:hAnsi="Calibri" w:cs="Calibri"/>
                <w:b/>
                <w:bCs/>
                <w:color w:val="FFFFFF"/>
                <w:sz w:val="22"/>
                <w:szCs w:val="22"/>
              </w:rPr>
            </w:pPr>
            <w:r w:rsidRPr="5103626C">
              <w:rPr>
                <w:rFonts w:ascii="Calibri" w:hAnsi="Calibri" w:cs="Calibri"/>
                <w:b/>
                <w:bCs/>
                <w:color w:val="FFFFFF" w:themeColor="background1"/>
                <w:sz w:val="22"/>
                <w:szCs w:val="22"/>
              </w:rPr>
              <w:t>AUTHORIZED</w:t>
            </w:r>
          </w:p>
        </w:tc>
      </w:tr>
      <w:tr w:rsidR="002C551D" w14:paraId="377C14CB" w14:textId="77777777" w:rsidTr="5103626C">
        <w:trPr>
          <w:trHeight w:val="293"/>
        </w:trPr>
        <w:tc>
          <w:tcPr>
            <w:tcW w:w="0" w:type="auto"/>
            <w:tcBorders>
              <w:top w:val="dotted" w:sz="4" w:space="0" w:color="auto"/>
              <w:left w:val="single" w:sz="4" w:space="0" w:color="auto"/>
              <w:bottom w:val="dotted" w:sz="4" w:space="0" w:color="auto"/>
              <w:right w:val="nil"/>
            </w:tcBorders>
            <w:shd w:val="clear" w:color="auto" w:fill="auto"/>
            <w:noWrap/>
            <w:tcMar>
              <w:top w:w="15" w:type="dxa"/>
              <w:left w:w="15" w:type="dxa"/>
              <w:bottom w:w="0" w:type="dxa"/>
              <w:right w:w="15" w:type="dxa"/>
            </w:tcMar>
            <w:vAlign w:val="bottom"/>
            <w:hideMark/>
          </w:tcPr>
          <w:p w14:paraId="4F0C89B7" w14:textId="77777777" w:rsidR="00D2784A" w:rsidRDefault="00D2784A">
            <w:pPr>
              <w:jc w:val="right"/>
              <w:rPr>
                <w:rFonts w:ascii="Calibri" w:hAnsi="Calibri" w:cs="Calibri"/>
                <w:b/>
                <w:bCs/>
                <w:color w:val="000000"/>
                <w:sz w:val="22"/>
                <w:szCs w:val="22"/>
              </w:rPr>
            </w:pPr>
            <w:r w:rsidRPr="5103626C">
              <w:rPr>
                <w:rFonts w:ascii="Calibri" w:hAnsi="Calibri" w:cs="Calibri"/>
                <w:b/>
                <w:bCs/>
                <w:color w:val="000000" w:themeColor="text1"/>
                <w:sz w:val="22"/>
                <w:szCs w:val="22"/>
              </w:rPr>
              <w:t>Equity Content</w:t>
            </w:r>
          </w:p>
        </w:tc>
        <w:tc>
          <w:tcPr>
            <w:tcW w:w="0" w:type="auto"/>
            <w:tcBorders>
              <w:top w:val="dotted" w:sz="4" w:space="0" w:color="auto"/>
              <w:left w:val="nil"/>
              <w:bottom w:val="dotted" w:sz="4" w:space="0" w:color="auto"/>
              <w:right w:val="nil"/>
            </w:tcBorders>
            <w:shd w:val="clear" w:color="auto" w:fill="auto"/>
            <w:noWrap/>
            <w:tcMar>
              <w:top w:w="15" w:type="dxa"/>
              <w:left w:w="15" w:type="dxa"/>
              <w:bottom w:w="0" w:type="dxa"/>
              <w:right w:w="15" w:type="dxa"/>
            </w:tcMar>
            <w:vAlign w:val="bottom"/>
            <w:hideMark/>
          </w:tcPr>
          <w:p w14:paraId="2F0C05A0" w14:textId="77777777" w:rsidR="00D2784A" w:rsidRDefault="00D2784A" w:rsidP="5103626C">
            <w:pPr>
              <w:jc w:val="left"/>
              <w:rPr>
                <w:rFonts w:ascii="Calibri" w:hAnsi="Calibri" w:cs="Calibri"/>
                <w:i/>
                <w:iCs/>
                <w:sz w:val="20"/>
                <w:szCs w:val="20"/>
              </w:rPr>
            </w:pPr>
            <w:r w:rsidRPr="5103626C">
              <w:rPr>
                <w:rFonts w:ascii="Calibri" w:hAnsi="Calibri" w:cs="Calibri"/>
                <w:i/>
                <w:iCs/>
                <w:sz w:val="20"/>
                <w:szCs w:val="20"/>
              </w:rPr>
              <w:t> </w:t>
            </w:r>
          </w:p>
        </w:tc>
        <w:tc>
          <w:tcPr>
            <w:tcW w:w="0" w:type="auto"/>
            <w:tcBorders>
              <w:top w:val="dotted" w:sz="4" w:space="0" w:color="auto"/>
              <w:left w:val="nil"/>
              <w:bottom w:val="dotted" w:sz="4" w:space="0" w:color="auto"/>
              <w:right w:val="nil"/>
            </w:tcBorders>
            <w:shd w:val="clear" w:color="auto" w:fill="auto"/>
            <w:noWrap/>
            <w:tcMar>
              <w:top w:w="15" w:type="dxa"/>
              <w:left w:w="15" w:type="dxa"/>
              <w:bottom w:w="0" w:type="dxa"/>
              <w:right w:w="15" w:type="dxa"/>
            </w:tcMar>
            <w:vAlign w:val="bottom"/>
            <w:hideMark/>
          </w:tcPr>
          <w:p w14:paraId="7B40A449" w14:textId="77777777" w:rsidR="00D2784A" w:rsidRDefault="00D2784A">
            <w:pPr>
              <w:rPr>
                <w:rFonts w:ascii="Calibri" w:hAnsi="Calibri" w:cs="Calibri"/>
                <w:sz w:val="22"/>
                <w:szCs w:val="22"/>
              </w:rPr>
            </w:pPr>
            <w:r w:rsidRPr="5103626C">
              <w:rPr>
                <w:rFonts w:ascii="Calibri" w:hAnsi="Calibri" w:cs="Calibri"/>
                <w:sz w:val="22"/>
                <w:szCs w:val="22"/>
              </w:rPr>
              <w:t> </w:t>
            </w:r>
          </w:p>
        </w:tc>
        <w:tc>
          <w:tcPr>
            <w:tcW w:w="0" w:type="auto"/>
            <w:tcBorders>
              <w:top w:val="dotted" w:sz="4" w:space="0" w:color="auto"/>
              <w:left w:val="nil"/>
              <w:bottom w:val="dotted" w:sz="4" w:space="0" w:color="auto"/>
              <w:right w:val="nil"/>
            </w:tcBorders>
            <w:shd w:val="clear" w:color="auto" w:fill="auto"/>
            <w:noWrap/>
            <w:tcMar>
              <w:top w:w="15" w:type="dxa"/>
              <w:left w:w="15" w:type="dxa"/>
              <w:bottom w:w="0" w:type="dxa"/>
              <w:right w:w="15" w:type="dxa"/>
            </w:tcMar>
            <w:vAlign w:val="bottom"/>
            <w:hideMark/>
          </w:tcPr>
          <w:p w14:paraId="79EB8A90" w14:textId="77777777" w:rsidR="00D2784A" w:rsidRDefault="00D2784A">
            <w:pPr>
              <w:jc w:val="center"/>
              <w:rPr>
                <w:rFonts w:ascii="Calibri" w:hAnsi="Calibri" w:cs="Calibri"/>
                <w:b/>
                <w:bCs/>
                <w:color w:val="0000FF"/>
                <w:sz w:val="22"/>
                <w:szCs w:val="22"/>
              </w:rPr>
            </w:pPr>
            <w:r w:rsidRPr="5103626C">
              <w:rPr>
                <w:rFonts w:ascii="Calibri" w:hAnsi="Calibri" w:cs="Calibri"/>
                <w:b/>
                <w:bCs/>
                <w:color w:val="0000FF"/>
                <w:sz w:val="22"/>
                <w:szCs w:val="22"/>
              </w:rPr>
              <w:t>45%</w:t>
            </w:r>
          </w:p>
        </w:tc>
        <w:tc>
          <w:tcPr>
            <w:tcW w:w="0" w:type="auto"/>
            <w:tcBorders>
              <w:top w:val="dotted" w:sz="4" w:space="0" w:color="auto"/>
              <w:left w:val="nil"/>
              <w:bottom w:val="dotted" w:sz="4" w:space="0" w:color="auto"/>
              <w:right w:val="nil"/>
            </w:tcBorders>
            <w:shd w:val="clear" w:color="auto" w:fill="auto"/>
            <w:noWrap/>
            <w:tcMar>
              <w:top w:w="15" w:type="dxa"/>
              <w:left w:w="15" w:type="dxa"/>
              <w:bottom w:w="0" w:type="dxa"/>
              <w:right w:w="15" w:type="dxa"/>
            </w:tcMar>
            <w:vAlign w:val="bottom"/>
            <w:hideMark/>
          </w:tcPr>
          <w:p w14:paraId="5C2FB4DD" w14:textId="77777777" w:rsidR="00D2784A" w:rsidRDefault="00D2784A">
            <w:pPr>
              <w:jc w:val="left"/>
              <w:rPr>
                <w:rFonts w:ascii="Calibri" w:hAnsi="Calibri" w:cs="Calibri"/>
                <w:sz w:val="22"/>
                <w:szCs w:val="22"/>
              </w:rPr>
            </w:pPr>
            <w:r w:rsidRPr="5103626C">
              <w:rPr>
                <w:rFonts w:ascii="Calibri" w:hAnsi="Calibri" w:cs="Calibri"/>
                <w:sz w:val="22"/>
                <w:szCs w:val="22"/>
              </w:rPr>
              <w:t> </w:t>
            </w:r>
          </w:p>
        </w:tc>
        <w:tc>
          <w:tcPr>
            <w:tcW w:w="0" w:type="auto"/>
            <w:tcBorders>
              <w:top w:val="dotted" w:sz="4" w:space="0" w:color="auto"/>
              <w:left w:val="nil"/>
              <w:bottom w:val="dotted" w:sz="4" w:space="0" w:color="auto"/>
              <w:right w:val="single" w:sz="4" w:space="0" w:color="auto"/>
            </w:tcBorders>
            <w:shd w:val="clear" w:color="auto" w:fill="auto"/>
            <w:noWrap/>
            <w:tcMar>
              <w:top w:w="15" w:type="dxa"/>
              <w:left w:w="15" w:type="dxa"/>
              <w:bottom w:w="0" w:type="dxa"/>
              <w:right w:w="15" w:type="dxa"/>
            </w:tcMar>
            <w:vAlign w:val="bottom"/>
            <w:hideMark/>
          </w:tcPr>
          <w:p w14:paraId="2D3A7A8C" w14:textId="77777777" w:rsidR="00D2784A" w:rsidRDefault="00D2784A">
            <w:pPr>
              <w:jc w:val="center"/>
              <w:rPr>
                <w:rFonts w:ascii="Calibri" w:hAnsi="Calibri" w:cs="Calibri"/>
                <w:b/>
                <w:bCs/>
                <w:color w:val="0000FF"/>
                <w:sz w:val="22"/>
                <w:szCs w:val="22"/>
              </w:rPr>
            </w:pPr>
            <w:r w:rsidRPr="5103626C">
              <w:rPr>
                <w:rFonts w:ascii="Calibri" w:hAnsi="Calibri" w:cs="Calibri"/>
                <w:b/>
                <w:bCs/>
                <w:color w:val="0000FF"/>
                <w:sz w:val="22"/>
                <w:szCs w:val="22"/>
              </w:rPr>
              <w:t>42.5%</w:t>
            </w:r>
          </w:p>
        </w:tc>
      </w:tr>
      <w:tr w:rsidR="002C551D" w14:paraId="2B3A76AC" w14:textId="77777777" w:rsidTr="5103626C">
        <w:trPr>
          <w:trHeight w:val="372"/>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14:paraId="2E36719C" w14:textId="283EE7B5" w:rsidR="00D2784A" w:rsidRDefault="00D2784A" w:rsidP="00D2784A">
            <w:pPr>
              <w:jc w:val="right"/>
              <w:rPr>
                <w:rFonts w:ascii="Calibri" w:hAnsi="Calibri" w:cs="Calibri"/>
                <w:sz w:val="22"/>
                <w:szCs w:val="22"/>
              </w:rPr>
            </w:pPr>
            <w:r w:rsidRPr="5103626C">
              <w:rPr>
                <w:rFonts w:ascii="Calibri" w:hAnsi="Calibri" w:cs="Calibri"/>
                <w:sz w:val="22"/>
                <w:szCs w:val="22"/>
              </w:rPr>
              <w:t>Total Capital</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9B13A8C" w14:textId="77777777" w:rsidR="00D2784A" w:rsidRDefault="00D2784A" w:rsidP="5103626C">
            <w:pPr>
              <w:jc w:val="center"/>
              <w:rPr>
                <w:rFonts w:ascii="Calibri" w:hAnsi="Calibri" w:cs="Calibri"/>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F1FF4A3" w14:textId="77777777" w:rsidR="00D2784A" w:rsidRDefault="00D2784A" w:rsidP="5103626C">
            <w:pPr>
              <w:jc w:val="center"/>
              <w:rPr>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7F8DAB9" w14:textId="42A26981" w:rsidR="00D2784A" w:rsidRDefault="00D2784A" w:rsidP="5103626C">
            <w:pPr>
              <w:jc w:val="center"/>
              <w:rPr>
                <w:rFonts w:ascii="Calibri" w:hAnsi="Calibri" w:cs="Calibri"/>
                <w:color w:val="000000"/>
                <w:sz w:val="22"/>
                <w:szCs w:val="22"/>
              </w:rPr>
            </w:pPr>
            <w:r w:rsidRPr="5103626C">
              <w:rPr>
                <w:rFonts w:ascii="Calibri" w:hAnsi="Calibri" w:cs="Calibri"/>
                <w:color w:val="000000" w:themeColor="text1"/>
                <w:sz w:val="22"/>
                <w:szCs w:val="22"/>
              </w:rPr>
              <w:t>$13,341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0EBA5F4" w14:textId="77777777" w:rsidR="00D2784A" w:rsidRDefault="00D2784A" w:rsidP="5103626C">
            <w:pPr>
              <w:jc w:val="center"/>
              <w:rPr>
                <w:rFonts w:ascii="Calibri" w:hAnsi="Calibri" w:cs="Calibri"/>
                <w:color w:val="000000"/>
                <w:sz w:val="22"/>
                <w:szCs w:val="22"/>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B4A44B4" w14:textId="1D4E052C" w:rsidR="00D2784A" w:rsidRDefault="00D2784A" w:rsidP="5103626C">
            <w:pPr>
              <w:jc w:val="center"/>
              <w:rPr>
                <w:rFonts w:ascii="Calibri" w:hAnsi="Calibri" w:cs="Calibri"/>
                <w:color w:val="000000"/>
                <w:sz w:val="22"/>
                <w:szCs w:val="22"/>
              </w:rPr>
            </w:pPr>
            <w:r w:rsidRPr="5103626C">
              <w:rPr>
                <w:rFonts w:ascii="Calibri" w:hAnsi="Calibri" w:cs="Calibri"/>
                <w:color w:val="000000" w:themeColor="text1"/>
                <w:sz w:val="22"/>
                <w:szCs w:val="22"/>
              </w:rPr>
              <w:t>13,341</w:t>
            </w:r>
          </w:p>
        </w:tc>
      </w:tr>
      <w:tr w:rsidR="002C551D" w14:paraId="12D05FF6" w14:textId="77777777" w:rsidTr="5103626C">
        <w:trPr>
          <w:trHeight w:val="20"/>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14:paraId="20443749" w14:textId="77777777" w:rsidR="00D2784A" w:rsidRDefault="00D2784A" w:rsidP="00D2784A">
            <w:pPr>
              <w:jc w:val="right"/>
              <w:rPr>
                <w:rFonts w:ascii="Calibri" w:hAnsi="Calibri" w:cs="Calibri"/>
                <w:sz w:val="22"/>
                <w:szCs w:val="22"/>
              </w:rPr>
            </w:pPr>
            <w:r w:rsidRPr="5103626C">
              <w:rPr>
                <w:rFonts w:ascii="Calibri" w:hAnsi="Calibri" w:cs="Calibri"/>
                <w:sz w:val="22"/>
                <w:szCs w:val="22"/>
              </w:rPr>
              <w:t>Equity</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409BF49" w14:textId="77777777" w:rsidR="00D2784A" w:rsidRDefault="00D2784A" w:rsidP="5103626C">
            <w:pPr>
              <w:jc w:val="center"/>
              <w:rPr>
                <w:rFonts w:ascii="Calibri" w:hAnsi="Calibri" w:cs="Calibri"/>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4FC5692" w14:textId="77777777" w:rsidR="00D2784A" w:rsidRDefault="00D2784A" w:rsidP="5103626C">
            <w:pPr>
              <w:jc w:val="center"/>
              <w:rPr>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F91ED0A" w14:textId="02B2A283" w:rsidR="00D2784A" w:rsidRDefault="00D2784A" w:rsidP="5103626C">
            <w:pPr>
              <w:jc w:val="center"/>
              <w:rPr>
                <w:rFonts w:ascii="Calibri" w:hAnsi="Calibri" w:cs="Calibri"/>
                <w:sz w:val="22"/>
                <w:szCs w:val="22"/>
              </w:rPr>
            </w:pPr>
            <w:r w:rsidRPr="5103626C">
              <w:rPr>
                <w:rFonts w:ascii="Calibri" w:hAnsi="Calibri" w:cs="Calibri"/>
                <w:sz w:val="22"/>
                <w:szCs w:val="22"/>
              </w:rPr>
              <w:t>5,991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C3F75D8" w14:textId="77777777" w:rsidR="00D2784A" w:rsidRDefault="00D2784A" w:rsidP="5103626C">
            <w:pPr>
              <w:jc w:val="center"/>
              <w:rPr>
                <w:rFonts w:ascii="Calibri" w:hAnsi="Calibri" w:cs="Calibri"/>
                <w:sz w:val="22"/>
                <w:szCs w:val="22"/>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998B7D0" w14:textId="1E4D879D" w:rsidR="00D2784A" w:rsidRDefault="00D2784A" w:rsidP="5103626C">
            <w:pPr>
              <w:jc w:val="center"/>
              <w:rPr>
                <w:rFonts w:ascii="Calibri" w:hAnsi="Calibri" w:cs="Calibri"/>
                <w:sz w:val="22"/>
                <w:szCs w:val="22"/>
              </w:rPr>
            </w:pPr>
            <w:r w:rsidRPr="5103626C">
              <w:rPr>
                <w:rFonts w:ascii="Calibri" w:hAnsi="Calibri" w:cs="Calibri"/>
                <w:sz w:val="22"/>
                <w:szCs w:val="22"/>
              </w:rPr>
              <w:t>5,670</w:t>
            </w:r>
          </w:p>
        </w:tc>
      </w:tr>
      <w:tr w:rsidR="002C551D" w14:paraId="4BA3FA2B" w14:textId="77777777" w:rsidTr="00610BAB">
        <w:trPr>
          <w:trHeight w:val="372"/>
        </w:trPr>
        <w:tc>
          <w:tcPr>
            <w:tcW w:w="0" w:type="auto"/>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14:paraId="1730BEBF" w14:textId="77777777" w:rsidR="00D2784A" w:rsidRDefault="00D2784A" w:rsidP="00D2784A">
            <w:pPr>
              <w:jc w:val="right"/>
              <w:rPr>
                <w:rFonts w:ascii="Calibri" w:hAnsi="Calibri" w:cs="Calibri"/>
                <w:sz w:val="22"/>
                <w:szCs w:val="22"/>
              </w:rPr>
            </w:pPr>
            <w:r w:rsidRPr="5103626C">
              <w:rPr>
                <w:rFonts w:ascii="Calibri" w:hAnsi="Calibri" w:cs="Calibri"/>
                <w:sz w:val="22"/>
                <w:szCs w:val="22"/>
              </w:rPr>
              <w:t>ROE</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44125544" w14:textId="77777777" w:rsidR="00D2784A" w:rsidRDefault="00D2784A" w:rsidP="5103626C">
            <w:pPr>
              <w:jc w:val="center"/>
              <w:rPr>
                <w:rFonts w:ascii="Calibri" w:hAnsi="Calibri" w:cs="Calibri"/>
                <w:sz w:val="20"/>
                <w:szCs w:val="20"/>
              </w:rPr>
            </w:pPr>
            <w:r w:rsidRPr="5103626C">
              <w:rPr>
                <w:rFonts w:ascii="Calibri" w:hAnsi="Calibri" w:cs="Calibri"/>
                <w:sz w:val="20"/>
                <w:szCs w:val="20"/>
              </w:rPr>
              <w:t>9.4%</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E5DEE2B" w14:textId="77777777" w:rsidR="00D2784A" w:rsidRDefault="00D2784A" w:rsidP="5103626C">
            <w:pPr>
              <w:jc w:val="center"/>
              <w:rPr>
                <w:rFonts w:ascii="Calibri" w:hAnsi="Calibri" w:cs="Calibri"/>
                <w:sz w:val="20"/>
                <w:szCs w:val="20"/>
              </w:rPr>
            </w:pP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4486A0A4" w14:textId="7C68BB1A" w:rsidR="00D2784A" w:rsidRDefault="00D2784A" w:rsidP="5103626C">
            <w:pPr>
              <w:jc w:val="center"/>
              <w:rPr>
                <w:rFonts w:ascii="Calibri" w:hAnsi="Calibri" w:cs="Calibri"/>
                <w:sz w:val="22"/>
                <w:szCs w:val="22"/>
              </w:rPr>
            </w:pPr>
            <w:r w:rsidRPr="5103626C">
              <w:rPr>
                <w:rFonts w:ascii="Calibri" w:hAnsi="Calibri" w:cs="Calibri"/>
                <w:sz w:val="22"/>
                <w:szCs w:val="22"/>
              </w:rPr>
              <w:t>$563</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BCD962E" w14:textId="77777777" w:rsidR="00D2784A" w:rsidRDefault="00D2784A" w:rsidP="5103626C">
            <w:pPr>
              <w:jc w:val="center"/>
              <w:rPr>
                <w:rFonts w:ascii="Calibri" w:hAnsi="Calibri" w:cs="Calibr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07646A" w14:textId="12236E0D" w:rsidR="00D2784A" w:rsidRDefault="00D2784A" w:rsidP="5103626C">
            <w:pPr>
              <w:jc w:val="center"/>
              <w:rPr>
                <w:rFonts w:ascii="Calibri" w:hAnsi="Calibri" w:cs="Calibri"/>
                <w:sz w:val="22"/>
                <w:szCs w:val="22"/>
              </w:rPr>
            </w:pPr>
            <w:r w:rsidRPr="5103626C">
              <w:rPr>
                <w:rFonts w:ascii="Calibri" w:hAnsi="Calibri" w:cs="Calibri"/>
                <w:sz w:val="22"/>
                <w:szCs w:val="22"/>
              </w:rPr>
              <w:t>$533</w:t>
            </w:r>
          </w:p>
        </w:tc>
      </w:tr>
      <w:tr w:rsidR="002C551D" w14:paraId="3B1F352D" w14:textId="77777777" w:rsidTr="00610BAB">
        <w:trPr>
          <w:trHeight w:val="288"/>
        </w:trPr>
        <w:tc>
          <w:tcPr>
            <w:tcW w:w="0" w:type="auto"/>
            <w:gridSpan w:val="4"/>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bottom"/>
            <w:hideMark/>
          </w:tcPr>
          <w:p w14:paraId="49835101" w14:textId="5D100477" w:rsidR="002C551D" w:rsidRDefault="002C551D" w:rsidP="5103626C">
            <w:pPr>
              <w:jc w:val="right"/>
              <w:rPr>
                <w:rFonts w:ascii="Calibri" w:hAnsi="Calibri" w:cs="Calibri"/>
                <w:sz w:val="22"/>
                <w:szCs w:val="22"/>
              </w:rPr>
            </w:pPr>
            <w:r w:rsidRPr="5103626C">
              <w:rPr>
                <w:rFonts w:ascii="Calibri" w:hAnsi="Calibri" w:cs="Calibri"/>
                <w:sz w:val="22"/>
                <w:szCs w:val="22"/>
              </w:rPr>
              <w:t>Under earning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DC780FC" w14:textId="77777777" w:rsidR="002C551D" w:rsidRDefault="002C551D">
            <w:pPr>
              <w:rPr>
                <w:rFonts w:ascii="Calibri" w:hAnsi="Calibri" w:cs="Calibri"/>
                <w:sz w:val="22"/>
                <w:szCs w:val="22"/>
              </w:rPr>
            </w:pPr>
            <w:r w:rsidRPr="5103626C">
              <w:rPr>
                <w:rFonts w:ascii="Calibri" w:hAnsi="Calibri" w:cs="Calibri"/>
                <w:sz w:val="22"/>
                <w:szCs w:val="22"/>
              </w:rPr>
              <w:t> </w:t>
            </w:r>
          </w:p>
        </w:tc>
        <w:tc>
          <w:tcPr>
            <w:tcW w:w="0" w:type="auto"/>
            <w:tcBorders>
              <w:top w:val="nil"/>
              <w:left w:val="nil"/>
              <w:bottom w:val="single" w:sz="4" w:space="0" w:color="auto"/>
              <w:right w:val="single" w:sz="4" w:space="0" w:color="auto"/>
            </w:tcBorders>
            <w:shd w:val="clear" w:color="auto" w:fill="DDEBF7"/>
            <w:noWrap/>
            <w:tcMar>
              <w:top w:w="15" w:type="dxa"/>
              <w:left w:w="15" w:type="dxa"/>
              <w:bottom w:w="0" w:type="dxa"/>
              <w:right w:w="15" w:type="dxa"/>
            </w:tcMar>
            <w:vAlign w:val="center"/>
            <w:hideMark/>
          </w:tcPr>
          <w:p w14:paraId="79AC136B" w14:textId="5AAB06A2" w:rsidR="002C551D" w:rsidRDefault="002C551D" w:rsidP="5103626C">
            <w:pPr>
              <w:jc w:val="center"/>
              <w:rPr>
                <w:rFonts w:ascii="Calibri" w:hAnsi="Calibri" w:cs="Calibri"/>
                <w:b/>
                <w:bCs/>
                <w:color w:val="000000"/>
                <w:sz w:val="22"/>
                <w:szCs w:val="22"/>
              </w:rPr>
            </w:pPr>
            <w:r w:rsidRPr="5103626C">
              <w:rPr>
                <w:rFonts w:ascii="Calibri" w:hAnsi="Calibri" w:cs="Calibri"/>
                <w:b/>
                <w:bCs/>
                <w:color w:val="000000" w:themeColor="text1"/>
                <w:sz w:val="22"/>
                <w:szCs w:val="22"/>
              </w:rPr>
              <w:t>$30</w:t>
            </w:r>
          </w:p>
        </w:tc>
      </w:tr>
    </w:tbl>
    <w:p w14:paraId="251BAE0B" w14:textId="62D9148E" w:rsidR="00D2784A" w:rsidRDefault="00D2784A" w:rsidP="00610BAB"/>
    <w:p w14:paraId="45EFE2D1" w14:textId="320A2C6C" w:rsidR="00807712" w:rsidRPr="0022075C" w:rsidRDefault="00DA3495" w:rsidP="409FB4E5">
      <w:pPr>
        <w:widowControl w:val="0"/>
        <w:spacing w:line="480" w:lineRule="auto"/>
        <w:ind w:left="720" w:hanging="720"/>
      </w:pPr>
      <w:r>
        <w:tab/>
      </w:r>
      <w:r w:rsidR="5A2BA732">
        <w:t xml:space="preserve">This $30 million mismatch is the amount of the disallowance the Commission would make if it </w:t>
      </w:r>
      <w:r w:rsidR="00D65623">
        <w:t xml:space="preserve">were to adopt </w:t>
      </w:r>
      <w:r w:rsidR="5A2BA732">
        <w:t xml:space="preserve">a </w:t>
      </w:r>
      <w:r w:rsidR="044F09B6" w:rsidRPr="4B8DF13A">
        <w:rPr>
          <w:i/>
          <w:iCs/>
        </w:rPr>
        <w:t>hy</w:t>
      </w:r>
      <w:r w:rsidR="5A2BA732" w:rsidRPr="4B8DF13A">
        <w:rPr>
          <w:i/>
          <w:iCs/>
        </w:rPr>
        <w:t xml:space="preserve">pothetical </w:t>
      </w:r>
      <w:r w:rsidR="5A2BA732">
        <w:t xml:space="preserve">42.5% equity ratio instead of the Company’s </w:t>
      </w:r>
      <w:r w:rsidR="5A2BA732" w:rsidRPr="4B8DF13A">
        <w:rPr>
          <w:i/>
          <w:iCs/>
        </w:rPr>
        <w:t xml:space="preserve">actual </w:t>
      </w:r>
      <w:r w:rsidR="5A2BA732">
        <w:t xml:space="preserve">capital structure.  </w:t>
      </w:r>
      <w:r w:rsidR="392B31A1">
        <w:t xml:space="preserve">A 40% equity ratio would result in an even larger disallowance.  </w:t>
      </w:r>
      <w:r w:rsidR="29AE767E">
        <w:t>In the next section</w:t>
      </w:r>
      <w:r w:rsidR="392B31A1">
        <w:t>, I’ll discuss how re</w:t>
      </w:r>
      <w:r w:rsidR="20B62C42">
        <w:t xml:space="preserve">flecting the Company’s </w:t>
      </w:r>
      <w:r w:rsidR="20B62C42" w:rsidRPr="4B8DF13A">
        <w:rPr>
          <w:i/>
          <w:iCs/>
        </w:rPr>
        <w:t xml:space="preserve">actual </w:t>
      </w:r>
      <w:r w:rsidR="20B62C42">
        <w:t>capital structure in rates can be done while maintaining affordable rates for the customers we have the privilege to serve.</w:t>
      </w:r>
    </w:p>
    <w:p w14:paraId="1052F5BC" w14:textId="729A2479" w:rsidR="4AB696EF" w:rsidRDefault="4AB696EF" w:rsidP="4B8DF13A">
      <w:pPr>
        <w:widowControl w:val="0"/>
        <w:spacing w:line="480" w:lineRule="auto"/>
        <w:ind w:left="720" w:hanging="720"/>
        <w:rPr>
          <w:b/>
          <w:bCs/>
        </w:rPr>
      </w:pPr>
      <w:r w:rsidRPr="4B8DF13A">
        <w:rPr>
          <w:b/>
          <w:bCs/>
        </w:rPr>
        <w:t>Q.</w:t>
      </w:r>
      <w:r>
        <w:tab/>
      </w:r>
      <w:r w:rsidR="137757BD" w:rsidRPr="6E041BEC">
        <w:rPr>
          <w:b/>
          <w:bCs/>
        </w:rPr>
        <w:t xml:space="preserve">WHY DON’T YOU </w:t>
      </w:r>
      <w:r w:rsidR="0C5543E4" w:rsidRPr="6E041BEC">
        <w:rPr>
          <w:b/>
          <w:bCs/>
        </w:rPr>
        <w:t xml:space="preserve">INSTEAD </w:t>
      </w:r>
      <w:r w:rsidR="137757BD" w:rsidRPr="6E041BEC">
        <w:rPr>
          <w:b/>
          <w:bCs/>
        </w:rPr>
        <w:t xml:space="preserve">PROPOSE </w:t>
      </w:r>
      <w:r w:rsidR="0D8349BA" w:rsidRPr="2A71F6B6">
        <w:rPr>
          <w:b/>
          <w:bCs/>
        </w:rPr>
        <w:t>A</w:t>
      </w:r>
      <w:r w:rsidR="2D51B54C" w:rsidRPr="6E041BEC">
        <w:rPr>
          <w:b/>
          <w:bCs/>
        </w:rPr>
        <w:t xml:space="preserve"> </w:t>
      </w:r>
      <w:r w:rsidR="2426A546" w:rsidRPr="4B8DF13A">
        <w:rPr>
          <w:b/>
          <w:bCs/>
        </w:rPr>
        <w:t xml:space="preserve">50 BASIS POINT ROE ADDER </w:t>
      </w:r>
      <w:r w:rsidR="5D6FDA21" w:rsidRPr="2A71F6B6">
        <w:rPr>
          <w:b/>
          <w:bCs/>
        </w:rPr>
        <w:t xml:space="preserve">IN </w:t>
      </w:r>
      <w:r w:rsidR="5D6FDA21" w:rsidRPr="6E041BEC">
        <w:rPr>
          <w:b/>
          <w:bCs/>
        </w:rPr>
        <w:t>THIS PROCEEDING</w:t>
      </w:r>
      <w:r w:rsidR="287582C3" w:rsidRPr="6E041BEC">
        <w:rPr>
          <w:b/>
          <w:bCs/>
        </w:rPr>
        <w:t xml:space="preserve">, </w:t>
      </w:r>
      <w:r w:rsidR="2426A546" w:rsidRPr="4B8DF13A">
        <w:rPr>
          <w:b/>
          <w:bCs/>
        </w:rPr>
        <w:t xml:space="preserve">LIKE </w:t>
      </w:r>
      <w:r w:rsidR="75F6CC55" w:rsidRPr="2A71F6B6">
        <w:rPr>
          <w:b/>
          <w:bCs/>
        </w:rPr>
        <w:t xml:space="preserve">THE </w:t>
      </w:r>
      <w:r w:rsidR="75F6CC55" w:rsidRPr="6E041BEC">
        <w:rPr>
          <w:b/>
          <w:bCs/>
        </w:rPr>
        <w:t>ONE USED</w:t>
      </w:r>
      <w:r w:rsidR="2426A546" w:rsidRPr="4B8DF13A">
        <w:rPr>
          <w:b/>
          <w:bCs/>
        </w:rPr>
        <w:t xml:space="preserve"> IN DOCKET NO. </w:t>
      </w:r>
      <w:r w:rsidR="2D51B54C" w:rsidRPr="6E041BEC">
        <w:rPr>
          <w:b/>
          <w:bCs/>
        </w:rPr>
        <w:t>22344</w:t>
      </w:r>
      <w:r w:rsidR="0ADF9139" w:rsidRPr="6E041BEC">
        <w:rPr>
          <w:b/>
          <w:bCs/>
        </w:rPr>
        <w:t xml:space="preserve"> </w:t>
      </w:r>
      <w:r w:rsidR="30337018" w:rsidRPr="2A71F6B6">
        <w:rPr>
          <w:b/>
          <w:bCs/>
        </w:rPr>
        <w:t>TO</w:t>
      </w:r>
      <w:r w:rsidR="30337018" w:rsidRPr="6E041BEC">
        <w:rPr>
          <w:b/>
          <w:bCs/>
        </w:rPr>
        <w:t xml:space="preserve"> OFFSET THE EFFECTS OF </w:t>
      </w:r>
      <w:r w:rsidR="11A82349" w:rsidRPr="6E041BEC">
        <w:rPr>
          <w:b/>
          <w:bCs/>
        </w:rPr>
        <w:t xml:space="preserve">A </w:t>
      </w:r>
      <w:r w:rsidR="11A82349" w:rsidRPr="2A71F6B6">
        <w:rPr>
          <w:b/>
          <w:i/>
        </w:rPr>
        <w:t xml:space="preserve">HYPOTHETICAL </w:t>
      </w:r>
      <w:r w:rsidR="11A82349" w:rsidRPr="6E041BEC">
        <w:rPr>
          <w:b/>
          <w:bCs/>
        </w:rPr>
        <w:t>CAPITAL STRUCTURE</w:t>
      </w:r>
      <w:r w:rsidR="2D51B54C" w:rsidRPr="6E041BEC">
        <w:rPr>
          <w:b/>
          <w:bCs/>
        </w:rPr>
        <w:t>?</w:t>
      </w:r>
    </w:p>
    <w:p w14:paraId="7826D5E2" w14:textId="7D02CE56" w:rsidR="4AB696EF" w:rsidRDefault="4AB696EF" w:rsidP="4B8DF13A">
      <w:pPr>
        <w:widowControl w:val="0"/>
        <w:spacing w:line="480" w:lineRule="auto"/>
        <w:ind w:left="720" w:hanging="720"/>
      </w:pPr>
      <w:r>
        <w:t>A.</w:t>
      </w:r>
      <w:r>
        <w:tab/>
      </w:r>
      <w:r w:rsidR="609CC9D7">
        <w:t>First,</w:t>
      </w:r>
      <w:r w:rsidR="7AE96C72">
        <w:t xml:space="preserve"> now that we have decades of </w:t>
      </w:r>
      <w:r w:rsidR="7AE96C72" w:rsidRPr="007833CC">
        <w:rPr>
          <w:i/>
          <w:iCs/>
        </w:rPr>
        <w:t xml:space="preserve">actual </w:t>
      </w:r>
      <w:r w:rsidR="7AE96C72">
        <w:t>TDU capital structures,</w:t>
      </w:r>
      <w:r w:rsidR="609CC9D7">
        <w:t xml:space="preserve"> there simply is no reason anymore </w:t>
      </w:r>
      <w:r w:rsidR="0ABAEE95">
        <w:t xml:space="preserve">to </w:t>
      </w:r>
      <w:r w:rsidR="609CC9D7">
        <w:t xml:space="preserve">litigate </w:t>
      </w:r>
      <w:r w:rsidR="6F524909">
        <w:t xml:space="preserve">what </w:t>
      </w:r>
      <w:r w:rsidR="609CC9D7">
        <w:t xml:space="preserve">ROE adder would be appropriate to compensate </w:t>
      </w:r>
      <w:r w:rsidR="3E117259">
        <w:t xml:space="preserve">the utility </w:t>
      </w:r>
      <w:r w:rsidR="609CC9D7">
        <w:t xml:space="preserve">for a </w:t>
      </w:r>
      <w:r w:rsidR="609CC9D7" w:rsidRPr="007833CC">
        <w:rPr>
          <w:i/>
          <w:iCs/>
        </w:rPr>
        <w:t xml:space="preserve">hypothetical </w:t>
      </w:r>
      <w:r w:rsidR="609CC9D7">
        <w:t>capital structure that reflects too much debt</w:t>
      </w:r>
      <w:r w:rsidR="48B7D12B">
        <w:t xml:space="preserve">. </w:t>
      </w:r>
      <w:r w:rsidR="7CD70E50">
        <w:t xml:space="preserve"> Second, </w:t>
      </w:r>
      <w:r w:rsidR="5AFE8DBE">
        <w:t>in many scenarios, using</w:t>
      </w:r>
      <w:r>
        <w:t xml:space="preserve"> the Company’s </w:t>
      </w:r>
      <w:r w:rsidRPr="5FB9FBB8">
        <w:rPr>
          <w:i/>
        </w:rPr>
        <w:t xml:space="preserve">actual </w:t>
      </w:r>
      <w:r>
        <w:t>capital structure would be more affordable to customers</w:t>
      </w:r>
      <w:r w:rsidR="7B5D7FC3">
        <w:t>, both initially and in the form of lower debt costs for unexpected needs for capital, such as in response to a storm</w:t>
      </w:r>
      <w:r w:rsidR="4B788B53">
        <w:t xml:space="preserve">, than a 50 basis point ROE adder.  </w:t>
      </w:r>
      <w:r w:rsidR="4ADEE3AF">
        <w:t xml:space="preserve">Even in scenarios where an ROE adder </w:t>
      </w:r>
      <w:r w:rsidR="71F3B01E">
        <w:t>adds</w:t>
      </w:r>
      <w:r w:rsidR="4ADEE3AF">
        <w:t xml:space="preserve"> slightly less </w:t>
      </w:r>
      <w:r w:rsidR="38116363">
        <w:t xml:space="preserve">to the revenue </w:t>
      </w:r>
      <w:r w:rsidR="38116363">
        <w:lastRenderedPageBreak/>
        <w:t xml:space="preserve">requirement </w:t>
      </w:r>
      <w:r w:rsidR="4ADEE3AF">
        <w:t xml:space="preserve">than using the Company’s </w:t>
      </w:r>
      <w:r w:rsidR="4ADEE3AF" w:rsidRPr="007833CC">
        <w:rPr>
          <w:i/>
          <w:iCs/>
        </w:rPr>
        <w:t xml:space="preserve">actual </w:t>
      </w:r>
      <w:r w:rsidR="4ADEE3AF">
        <w:t xml:space="preserve">capital structure, the exercise seems </w:t>
      </w:r>
      <w:r w:rsidR="2803C2EF">
        <w:t xml:space="preserve">unnecessarily complicated in the context of having decades of </w:t>
      </w:r>
      <w:r w:rsidR="2803C2EF" w:rsidRPr="007833CC">
        <w:rPr>
          <w:i/>
          <w:iCs/>
        </w:rPr>
        <w:t xml:space="preserve">actual </w:t>
      </w:r>
      <w:r w:rsidR="2803C2EF">
        <w:t>TDU capital structure history, which was not the case in Docket No. 22344.</w:t>
      </w:r>
      <w:r w:rsidR="64B1800F">
        <w:t xml:space="preserve"> </w:t>
      </w:r>
      <w:r w:rsidR="6AF3BE02">
        <w:t>And</w:t>
      </w:r>
      <w:r w:rsidR="368D8E91">
        <w:t xml:space="preserve"> finally,</w:t>
      </w:r>
      <w:r w:rsidR="64B1800F">
        <w:t xml:space="preserve"> as explained in the testimony of Company witness Jacqu</w:t>
      </w:r>
      <w:r w:rsidR="0093422D">
        <w:t>e</w:t>
      </w:r>
      <w:r w:rsidR="64B1800F">
        <w:t xml:space="preserve">line Richert, there are other benefits of using the </w:t>
      </w:r>
      <w:r w:rsidR="64B1800F" w:rsidRPr="4B8DF13A">
        <w:rPr>
          <w:i/>
          <w:iCs/>
        </w:rPr>
        <w:t xml:space="preserve">actual </w:t>
      </w:r>
      <w:r w:rsidR="64B1800F">
        <w:t>capital structure as well</w:t>
      </w:r>
      <w:r w:rsidR="16FE2C18">
        <w:t xml:space="preserve">, which may not be obtained simply by adding to the utility’s ROE </w:t>
      </w:r>
      <w:r w:rsidR="3FEF3C70">
        <w:t>while leaving</w:t>
      </w:r>
      <w:r w:rsidR="16FE2C18">
        <w:t xml:space="preserve"> an artificially high level of debt in the </w:t>
      </w:r>
      <w:r w:rsidR="7BEC251E" w:rsidRPr="007833CC">
        <w:rPr>
          <w:i/>
          <w:iCs/>
        </w:rPr>
        <w:t>hypothetical</w:t>
      </w:r>
      <w:r w:rsidR="7BEC251E">
        <w:t xml:space="preserve"> </w:t>
      </w:r>
      <w:r w:rsidR="16FE2C18">
        <w:t>capital structure</w:t>
      </w:r>
      <w:r w:rsidDel="4C3AAC07">
        <w:t>.</w:t>
      </w:r>
    </w:p>
    <w:p w14:paraId="5074287B" w14:textId="6C417EF6" w:rsidR="00BB6DE2" w:rsidRDefault="00BB6DE2" w:rsidP="00D93CC6">
      <w:pPr>
        <w:pStyle w:val="PCROutline1"/>
        <w:widowControl w:val="0"/>
        <w:numPr>
          <w:ilvl w:val="0"/>
          <w:numId w:val="8"/>
        </w:numPr>
        <w:tabs>
          <w:tab w:val="clear" w:pos="432"/>
          <w:tab w:val="left" w:pos="720"/>
        </w:tabs>
        <w:rPr>
          <w:snapToGrid w:val="0"/>
          <w:u w:val="single"/>
        </w:rPr>
      </w:pPr>
      <w:bookmarkStart w:id="18" w:name="_Toc159840216"/>
      <w:r>
        <w:rPr>
          <w:snapToGrid w:val="0"/>
          <w:u w:val="single"/>
        </w:rPr>
        <w:t xml:space="preserve">AFFORDABILITY OF CENTERPOINT HOUSTON’S </w:t>
      </w:r>
      <w:r w:rsidR="003D4652">
        <w:rPr>
          <w:snapToGrid w:val="0"/>
          <w:u w:val="single"/>
        </w:rPr>
        <w:t>RATES</w:t>
      </w:r>
      <w:bookmarkEnd w:id="18"/>
    </w:p>
    <w:p w14:paraId="1341C86F" w14:textId="77777777" w:rsidR="00BB6DE2" w:rsidRDefault="00BB6DE2" w:rsidP="00BB6DE2">
      <w:pPr>
        <w:widowControl w:val="0"/>
        <w:spacing w:before="2" w:after="2" w:line="480" w:lineRule="auto"/>
        <w:ind w:left="720" w:hanging="720"/>
        <w:rPr>
          <w:rFonts w:ascii="Times" w:hAnsi="Times"/>
          <w:b/>
        </w:rPr>
      </w:pPr>
      <w:r>
        <w:rPr>
          <w:rFonts w:ascii="Times" w:hAnsi="Times"/>
          <w:b/>
        </w:rPr>
        <w:t>Q.</w:t>
      </w:r>
      <w:r>
        <w:rPr>
          <w:rFonts w:ascii="Times" w:hAnsi="Times"/>
        </w:rPr>
        <w:tab/>
      </w:r>
      <w:r>
        <w:rPr>
          <w:rFonts w:ascii="Times" w:hAnsi="Times"/>
          <w:b/>
        </w:rPr>
        <w:t>WHAT IS “AFFORDABILITY” AND WHY IS IT IMPORTANT?</w:t>
      </w:r>
    </w:p>
    <w:p w14:paraId="5DB30451" w14:textId="6B597B0A" w:rsidR="00BB6DE2" w:rsidRDefault="00BB6DE2" w:rsidP="00BB6DE2">
      <w:pPr>
        <w:widowControl w:val="0"/>
        <w:spacing w:line="480" w:lineRule="auto"/>
        <w:ind w:left="720" w:hanging="720"/>
      </w:pPr>
      <w:r w:rsidRPr="4B8DF13A">
        <w:rPr>
          <w:rFonts w:ascii="Times" w:hAnsi="Times"/>
        </w:rPr>
        <w:t>A.</w:t>
      </w:r>
      <w:r>
        <w:tab/>
        <w:t xml:space="preserve">CenterPoint Houston believes it is important to focus not only on the overall cost of providing its services (its revenue requirement), but also the cost of the Company’s services to the average </w:t>
      </w:r>
      <w:r w:rsidR="00ED5D2C">
        <w:t xml:space="preserve">residential </w:t>
      </w:r>
      <w:r>
        <w:t>customer (its rates). Rates</w:t>
      </w:r>
      <w:r w:rsidR="7FAFDEA6">
        <w:t>,</w:t>
      </w:r>
      <w:r>
        <w:t xml:space="preserve"> rather than revenue requirement</w:t>
      </w:r>
      <w:r w:rsidR="206FA73F">
        <w:t>,</w:t>
      </w:r>
      <w:r>
        <w:t xml:space="preserve"> </w:t>
      </w:r>
      <w:r w:rsidR="2A20C1B9">
        <w:t>impact</w:t>
      </w:r>
      <w:r>
        <w:t xml:space="preserve"> the ability of individual customers to afford electric service. CenterPoint Houston’s revenue requirement was set at </w:t>
      </w:r>
      <w:r w:rsidR="64AC5B73">
        <w:t>$</w:t>
      </w:r>
      <w:r w:rsidR="375EBB49">
        <w:t>1.4 billion</w:t>
      </w:r>
      <w:r>
        <w:t xml:space="preserve"> in its 2010 rate case (Docket No. 38339). Nine years later, in the Company’s 2019 rate case (Docket No. 49421), the revenue requirement had grown to approximately $2.5 billion. However, despite the growth in its revenue requirement, the portion of the average</w:t>
      </w:r>
      <w:r w:rsidR="00DE14F8">
        <w:t xml:space="preserve"> residential</w:t>
      </w:r>
      <w:r>
        <w:t xml:space="preserve"> customer’s electric bill attributable to CenterPoint Houston has remained relatively flat over the past ten years</w:t>
      </w:r>
      <w:r w:rsidR="75F11489">
        <w:t>,</w:t>
      </w:r>
      <w:r>
        <w:t xml:space="preserve"> as reflected in </w:t>
      </w:r>
      <w:r w:rsidR="648C0FC2">
        <w:t>Figure JMR-</w:t>
      </w:r>
      <w:r w:rsidR="33078AC8" w:rsidRPr="4B8DF13A">
        <w:rPr>
          <w:rFonts w:ascii="Times" w:hAnsi="Times"/>
        </w:rPr>
        <w:t>1</w:t>
      </w:r>
      <w:r w:rsidR="649E132B" w:rsidRPr="4B8DF13A">
        <w:rPr>
          <w:rFonts w:ascii="Times" w:hAnsi="Times"/>
        </w:rPr>
        <w:t>1</w:t>
      </w:r>
      <w:r>
        <w:t>.</w:t>
      </w:r>
    </w:p>
    <w:p w14:paraId="6F83E22B" w14:textId="1EFC1CBE" w:rsidR="00100143" w:rsidRPr="004A7A62" w:rsidRDefault="00100143" w:rsidP="00343E75">
      <w:pPr>
        <w:keepNext/>
        <w:keepLines/>
        <w:ind w:left="720" w:hanging="720"/>
        <w:jc w:val="center"/>
        <w:rPr>
          <w:b/>
          <w:bCs/>
        </w:rPr>
      </w:pPr>
      <w:r w:rsidRPr="004A7A62">
        <w:rPr>
          <w:rFonts w:ascii="Times" w:hAnsi="Times"/>
          <w:b/>
          <w:bCs/>
        </w:rPr>
        <w:lastRenderedPageBreak/>
        <w:t>Figure JMR-</w:t>
      </w:r>
      <w:r w:rsidR="005F329F" w:rsidRPr="6FC8F048">
        <w:rPr>
          <w:b/>
          <w:bCs/>
        </w:rPr>
        <w:t>1</w:t>
      </w:r>
      <w:r w:rsidR="6D65534E" w:rsidRPr="6FC8F048">
        <w:rPr>
          <w:b/>
          <w:bCs/>
        </w:rPr>
        <w:t>1</w:t>
      </w:r>
    </w:p>
    <w:p w14:paraId="4C56D8AB" w14:textId="77777777" w:rsidR="00760A2E" w:rsidRPr="004A7A62" w:rsidRDefault="00437B60" w:rsidP="00343E75">
      <w:pPr>
        <w:keepNext/>
        <w:keepLines/>
        <w:ind w:left="720" w:hanging="720"/>
        <w:jc w:val="center"/>
        <w:rPr>
          <w:rFonts w:ascii="Times" w:hAnsi="Times"/>
          <w:b/>
          <w:bCs/>
        </w:rPr>
      </w:pPr>
      <w:r w:rsidRPr="004A7A62">
        <w:rPr>
          <w:rFonts w:ascii="Times" w:hAnsi="Times"/>
          <w:b/>
          <w:bCs/>
        </w:rPr>
        <w:t xml:space="preserve">CenterPoint Houston Average Monthly Charges per </w:t>
      </w:r>
      <w:r w:rsidR="00F01F6A" w:rsidRPr="004A7A62">
        <w:rPr>
          <w:rFonts w:ascii="Times" w:hAnsi="Times"/>
          <w:b/>
          <w:bCs/>
        </w:rPr>
        <w:t>1,000 KWh</w:t>
      </w:r>
    </w:p>
    <w:p w14:paraId="37B987E5" w14:textId="016BBAB9" w:rsidR="00BB6DE2" w:rsidRDefault="00BB6DE2" w:rsidP="00343E75">
      <w:pPr>
        <w:keepNext/>
        <w:keepLines/>
      </w:pPr>
    </w:p>
    <w:p w14:paraId="36523F15" w14:textId="77B088A6" w:rsidR="00BB767D" w:rsidRDefault="00A314FE" w:rsidP="00343E75">
      <w:pPr>
        <w:keepNext/>
        <w:keepLines/>
        <w:jc w:val="center"/>
      </w:pPr>
      <w:r>
        <w:rPr>
          <w:noProof/>
        </w:rPr>
        <w:drawing>
          <wp:inline distT="0" distB="0" distL="0" distR="0" wp14:anchorId="4A773387" wp14:editId="066ADC3A">
            <wp:extent cx="3038475" cy="31335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60761" cy="3156574"/>
                    </a:xfrm>
                    <a:prstGeom prst="rect">
                      <a:avLst/>
                    </a:prstGeom>
                  </pic:spPr>
                </pic:pic>
              </a:graphicData>
            </a:graphic>
          </wp:inline>
        </w:drawing>
      </w:r>
    </w:p>
    <w:p w14:paraId="1EDB3219" w14:textId="77777777" w:rsidR="00332CE5" w:rsidRDefault="00332CE5" w:rsidP="00343E75">
      <w:pPr>
        <w:keepNext/>
        <w:keepLines/>
      </w:pPr>
    </w:p>
    <w:p w14:paraId="3C5C2F2A" w14:textId="43F662DA" w:rsidR="00BB6DE2" w:rsidRDefault="00BB6DE2" w:rsidP="00343E75">
      <w:pPr>
        <w:pStyle w:val="BodyText"/>
        <w:keepNext/>
        <w:keepLines/>
      </w:pPr>
      <w:bookmarkStart w:id="19" w:name="_Hlk155104617"/>
      <w:bookmarkStart w:id="20" w:name="_Toc413701585"/>
      <w:bookmarkStart w:id="21" w:name="_Toc446073685"/>
      <w:bookmarkStart w:id="22" w:name="_Toc478477916"/>
      <w:r w:rsidRPr="4B8DF13A">
        <w:rPr>
          <w:b/>
        </w:rPr>
        <w:t>Q.</w:t>
      </w:r>
      <w:r>
        <w:tab/>
      </w:r>
      <w:r w:rsidRPr="4B8DF13A">
        <w:rPr>
          <w:b/>
        </w:rPr>
        <w:t xml:space="preserve">HOW </w:t>
      </w:r>
      <w:r w:rsidR="1D27CCEC" w:rsidRPr="4B8DF13A">
        <w:rPr>
          <w:b/>
        </w:rPr>
        <w:t xml:space="preserve">HAS </w:t>
      </w:r>
      <w:r w:rsidRPr="4B8DF13A">
        <w:rPr>
          <w:b/>
        </w:rPr>
        <w:t xml:space="preserve">CENTERPOINT HOUSTON </w:t>
      </w:r>
      <w:r w:rsidR="0C0CAED4" w:rsidRPr="4B8DF13A">
        <w:rPr>
          <w:b/>
        </w:rPr>
        <w:t>KEPT ITS RATES RELATIVELY FLAT FOR THE LAST DECADE</w:t>
      </w:r>
      <w:r w:rsidRPr="4B8DF13A">
        <w:rPr>
          <w:b/>
        </w:rPr>
        <w:t xml:space="preserve"> WHILE</w:t>
      </w:r>
      <w:r w:rsidR="006444E0" w:rsidRPr="4B8DF13A">
        <w:rPr>
          <w:b/>
        </w:rPr>
        <w:t>, AT THE SAME TIME,</w:t>
      </w:r>
      <w:r w:rsidRPr="4B8DF13A">
        <w:rPr>
          <w:b/>
        </w:rPr>
        <w:t xml:space="preserve"> SIGNIFICANTLY INCREASING ITS INVESTMENT </w:t>
      </w:r>
      <w:r w:rsidR="00A20BC0" w:rsidRPr="4B8DF13A">
        <w:rPr>
          <w:b/>
        </w:rPr>
        <w:t>TO EXPAND, MODERNIZE, AND HARDEN ITS TRANSMISSION AND DISTRIBUTION SYSTEM</w:t>
      </w:r>
      <w:r w:rsidRPr="4B8DF13A">
        <w:rPr>
          <w:b/>
        </w:rPr>
        <w:t>?</w:t>
      </w:r>
    </w:p>
    <w:p w14:paraId="378A34CD" w14:textId="6D83DC15" w:rsidR="00BB6DE2" w:rsidRDefault="00BB6DE2" w:rsidP="00BB6DE2">
      <w:pPr>
        <w:pStyle w:val="BodyText"/>
        <w:widowControl w:val="0"/>
      </w:pPr>
      <w:r>
        <w:t>A.</w:t>
      </w:r>
      <w:r>
        <w:tab/>
        <w:t xml:space="preserve">As illustrated by </w:t>
      </w:r>
      <w:r w:rsidR="311681FA">
        <w:t xml:space="preserve">Figure </w:t>
      </w:r>
      <w:r w:rsidR="00B40E91">
        <w:t>JMR-</w:t>
      </w:r>
      <w:r w:rsidR="0E5057DE">
        <w:t>1</w:t>
      </w:r>
      <w:r w:rsidR="577CBAFB">
        <w:t>2</w:t>
      </w:r>
      <w:r w:rsidR="00B40E91">
        <w:t xml:space="preserve">, </w:t>
      </w:r>
      <w:r>
        <w:t xml:space="preserve">the Company has three factors working to help contain average </w:t>
      </w:r>
      <w:r w:rsidR="00DE14F8">
        <w:t xml:space="preserve">residential </w:t>
      </w:r>
      <w:r>
        <w:t xml:space="preserve">customer </w:t>
      </w:r>
      <w:r w:rsidR="248859A8">
        <w:t xml:space="preserve">rates, </w:t>
      </w:r>
      <w:r>
        <w:t>even as the Company increases its revenue requirements.</w:t>
      </w:r>
    </w:p>
    <w:p w14:paraId="4C186E72" w14:textId="4EE76D45" w:rsidR="00BB6DE2" w:rsidRDefault="00D91A99" w:rsidP="00343E75">
      <w:pPr>
        <w:pStyle w:val="BodyText"/>
        <w:keepNext/>
        <w:keepLines/>
        <w:spacing w:line="240" w:lineRule="auto"/>
        <w:jc w:val="center"/>
        <w:rPr>
          <w:b/>
        </w:rPr>
      </w:pPr>
      <w:r w:rsidRPr="12B1640C">
        <w:rPr>
          <w:b/>
        </w:rPr>
        <w:lastRenderedPageBreak/>
        <w:t xml:space="preserve">Figure </w:t>
      </w:r>
      <w:r w:rsidR="00CC68F7" w:rsidRPr="12B1640C">
        <w:rPr>
          <w:b/>
        </w:rPr>
        <w:t>JMR-</w:t>
      </w:r>
      <w:r w:rsidR="00332CE5" w:rsidRPr="12B1640C">
        <w:rPr>
          <w:b/>
        </w:rPr>
        <w:t>1</w:t>
      </w:r>
      <w:r w:rsidR="7770DC67" w:rsidRPr="12B1640C">
        <w:rPr>
          <w:b/>
        </w:rPr>
        <w:t>2</w:t>
      </w:r>
    </w:p>
    <w:p w14:paraId="68F744EF" w14:textId="1607166A" w:rsidR="00CC68F7" w:rsidRDefault="00DD6097" w:rsidP="00343E75">
      <w:pPr>
        <w:pStyle w:val="BodyText"/>
        <w:keepNext/>
        <w:keepLines/>
        <w:spacing w:line="240" w:lineRule="auto"/>
        <w:jc w:val="center"/>
        <w:rPr>
          <w:b/>
          <w:szCs w:val="24"/>
        </w:rPr>
      </w:pPr>
      <w:r>
        <w:rPr>
          <w:b/>
          <w:szCs w:val="24"/>
        </w:rPr>
        <w:t>CenterPoint Houston Future Expected Bill Mitigants</w:t>
      </w:r>
    </w:p>
    <w:p w14:paraId="49BC4643" w14:textId="77777777" w:rsidR="00637DD1" w:rsidRPr="00637DD1" w:rsidRDefault="00637DD1" w:rsidP="00343E75">
      <w:pPr>
        <w:keepNext/>
        <w:keepLines/>
      </w:pPr>
    </w:p>
    <w:p w14:paraId="6051DA50" w14:textId="4ECA2723" w:rsidR="00BB6DE2" w:rsidRDefault="00332CE5" w:rsidP="00343E75">
      <w:pPr>
        <w:keepNext/>
        <w:keepLines/>
        <w:jc w:val="center"/>
      </w:pPr>
      <w:r>
        <w:rPr>
          <w:noProof/>
        </w:rPr>
        <w:drawing>
          <wp:inline distT="0" distB="0" distL="0" distR="0" wp14:anchorId="2E22C7B8" wp14:editId="0754AE19">
            <wp:extent cx="2543175" cy="25431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43175" cy="2543175"/>
                    </a:xfrm>
                    <a:prstGeom prst="rect">
                      <a:avLst/>
                    </a:prstGeom>
                    <a:noFill/>
                    <a:ln>
                      <a:noFill/>
                    </a:ln>
                  </pic:spPr>
                </pic:pic>
              </a:graphicData>
            </a:graphic>
          </wp:inline>
        </w:drawing>
      </w:r>
    </w:p>
    <w:p w14:paraId="3F31132B" w14:textId="3C4C58FC" w:rsidR="00BB6DE2" w:rsidRDefault="00332CE5" w:rsidP="00343E75">
      <w:pPr>
        <w:keepNext/>
        <w:keepLines/>
        <w:jc w:val="center"/>
      </w:pPr>
      <w:r>
        <w:rPr>
          <w:noProof/>
        </w:rPr>
        <w:drawing>
          <wp:inline distT="0" distB="0" distL="0" distR="0" wp14:anchorId="08AC920F" wp14:editId="0987B82B">
            <wp:extent cx="3552825" cy="1238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52825" cy="123825"/>
                    </a:xfrm>
                    <a:prstGeom prst="rect">
                      <a:avLst/>
                    </a:prstGeom>
                    <a:noFill/>
                    <a:ln>
                      <a:noFill/>
                    </a:ln>
                  </pic:spPr>
                </pic:pic>
              </a:graphicData>
            </a:graphic>
          </wp:inline>
        </w:drawing>
      </w:r>
    </w:p>
    <w:p w14:paraId="3FA8C387" w14:textId="77777777" w:rsidR="00343E75" w:rsidRPr="00343E75" w:rsidRDefault="00343E75" w:rsidP="00343E75"/>
    <w:p w14:paraId="58B925DF" w14:textId="73AE0088" w:rsidR="00BB6DE2" w:rsidRDefault="00BB6DE2" w:rsidP="00343E75">
      <w:pPr>
        <w:pStyle w:val="BodyText"/>
        <w:ind w:firstLine="0"/>
      </w:pPr>
      <w:r>
        <w:t xml:space="preserve">First, customer growth </w:t>
      </w:r>
      <w:r w:rsidR="1A59F483">
        <w:t>spreads the cost of increased investments over an ever</w:t>
      </w:r>
      <w:r w:rsidR="0ED92904">
        <w:t>-</w:t>
      </w:r>
      <w:r w:rsidR="1A59F483">
        <w:t>larger number of customers, so that incremental capital does not result in the same incremental increase in rates.</w:t>
      </w:r>
      <w:r>
        <w:t xml:space="preserve"> Second, since 2019, three securitization charges related to the transition to competition and hurricane restoration costs (TC2, TC3, and SRC/ADFIT) have been retired, resulting in a total reduction of $4.48 per month for the average residential customer. A fourth securitization charge (TC5) will be retired by October 2024, resulting in a similar reduction in the amount of $1.92 per month. Together, the retirement of these securitization charges will reduce average residential customer bills by approximately $6.40. Third, </w:t>
      </w:r>
      <w:r w:rsidR="32C54DC0">
        <w:t>CNP</w:t>
      </w:r>
      <w:r>
        <w:t xml:space="preserve"> has </w:t>
      </w:r>
      <w:r w:rsidR="349FD546">
        <w:t xml:space="preserve">focused on reducing </w:t>
      </w:r>
      <w:r>
        <w:t>its O&amp;M expenses by an average of 1-2% per year</w:t>
      </w:r>
      <w:r w:rsidR="356E59B0">
        <w:t>, which drives the O&amp;M reduction shown in this case</w:t>
      </w:r>
      <w:r w:rsidR="0D81D5F0">
        <w:t xml:space="preserve"> compared to rates approved in the Company’s last case</w:t>
      </w:r>
      <w:r>
        <w:t>.  The result is that the Company can increase its investment in its transmission and distributions system</w:t>
      </w:r>
      <w:r w:rsidR="0054110C">
        <w:t xml:space="preserve"> </w:t>
      </w:r>
      <w:r>
        <w:t>while keeping average customer charges within normal inflation rates and maintaining affordability.</w:t>
      </w:r>
      <w:r w:rsidR="00010974">
        <w:t xml:space="preserve">  </w:t>
      </w:r>
      <w:r w:rsidR="7C1AB231">
        <w:t xml:space="preserve">In this case, even </w:t>
      </w:r>
      <w:r w:rsidR="7C1AB231">
        <w:lastRenderedPageBreak/>
        <w:t>though the company’s proposed revenue requirement is now approximately $3.</w:t>
      </w:r>
      <w:r w:rsidR="7462EE6F">
        <w:t>8</w:t>
      </w:r>
      <w:r w:rsidR="7C1AB231">
        <w:t xml:space="preserve"> billion, the residential rate impact, net of all of the above factors, reflects a</w:t>
      </w:r>
      <w:r w:rsidR="30499DCE">
        <w:t xml:space="preserve"> </w:t>
      </w:r>
      <w:r w:rsidR="004376FC">
        <w:t>0.7</w:t>
      </w:r>
      <w:r w:rsidR="30499DCE">
        <w:t>% residential rate increase</w:t>
      </w:r>
      <w:r w:rsidR="004376FC">
        <w:t xml:space="preserve"> compared to existing rates</w:t>
      </w:r>
      <w:r w:rsidR="30499DCE">
        <w:t>.</w:t>
      </w:r>
      <w:r>
        <w:t xml:space="preserve"> </w:t>
      </w:r>
    </w:p>
    <w:p w14:paraId="71D70147" w14:textId="4748BA74" w:rsidR="67FC12BF" w:rsidRDefault="67FC12BF" w:rsidP="13DDEEB6">
      <w:pPr>
        <w:pStyle w:val="BodyText"/>
        <w:widowControl w:val="0"/>
        <w:rPr>
          <w:b/>
        </w:rPr>
      </w:pPr>
      <w:r w:rsidRPr="00AD39C6">
        <w:rPr>
          <w:b/>
        </w:rPr>
        <w:t xml:space="preserve">Q. </w:t>
      </w:r>
      <w:r w:rsidR="008C467D">
        <w:rPr>
          <w:b/>
        </w:rPr>
        <w:tab/>
      </w:r>
      <w:r w:rsidRPr="00AD39C6">
        <w:rPr>
          <w:b/>
        </w:rPr>
        <w:t xml:space="preserve">DID THE COMPANY TAKE ANY ACTION IN </w:t>
      </w:r>
      <w:r w:rsidR="00A04510">
        <w:rPr>
          <w:b/>
        </w:rPr>
        <w:t xml:space="preserve">CONJUNCTION WITH </w:t>
      </w:r>
      <w:r w:rsidRPr="00AD39C6">
        <w:rPr>
          <w:b/>
        </w:rPr>
        <w:t>THIS APPLICATION TO ENSURE ITS RATES REMAIN AFFORDABLE AFTER THIS CASE?</w:t>
      </w:r>
    </w:p>
    <w:p w14:paraId="742A5495" w14:textId="783BE226" w:rsidR="67FC12BF" w:rsidRDefault="67FC12BF" w:rsidP="13DDEEB6">
      <w:pPr>
        <w:pStyle w:val="BodyText"/>
        <w:widowControl w:val="0"/>
      </w:pPr>
      <w:r>
        <w:t xml:space="preserve">A. </w:t>
      </w:r>
      <w:r w:rsidR="008C467D">
        <w:tab/>
      </w:r>
      <w:r>
        <w:t xml:space="preserve"> Yes.  These actions included:</w:t>
      </w:r>
    </w:p>
    <w:p w14:paraId="2300F453" w14:textId="4FBD893E" w:rsidR="67FC12BF" w:rsidRDefault="004F2C23" w:rsidP="00DF419B">
      <w:pPr>
        <w:pStyle w:val="BodyText"/>
        <w:widowControl w:val="0"/>
        <w:numPr>
          <w:ilvl w:val="0"/>
          <w:numId w:val="7"/>
        </w:numPr>
      </w:pPr>
      <w:r>
        <w:t>r</w:t>
      </w:r>
      <w:r w:rsidR="67FC12BF">
        <w:t xml:space="preserve">ecommending a 10.4% return on equity, even though Ms. Bulkley’s expert testimony supports a 10.6% return; </w:t>
      </w:r>
    </w:p>
    <w:p w14:paraId="0A40DB0B" w14:textId="44431D01" w:rsidR="004F2C23" w:rsidRPr="00DF419B" w:rsidRDefault="004F2C23" w:rsidP="004F2C23">
      <w:pPr>
        <w:pStyle w:val="BodyText"/>
        <w:widowControl w:val="0"/>
        <w:numPr>
          <w:ilvl w:val="0"/>
          <w:numId w:val="7"/>
        </w:numPr>
        <w:rPr>
          <w:rFonts w:eastAsia="Calibri" w:cs="Arial"/>
        </w:rPr>
      </w:pPr>
      <w:r>
        <w:t>r</w:t>
      </w:r>
      <w:r w:rsidR="67FC12BF">
        <w:t xml:space="preserve">emoving costs associated with having both a chief executive officer and a chief operating officer in the CNP corporate structure, which </w:t>
      </w:r>
      <w:r w:rsidR="00A04510">
        <w:t>was the case</w:t>
      </w:r>
      <w:r w:rsidR="67FC12BF">
        <w:t xml:space="preserve"> in the test year, but </w:t>
      </w:r>
      <w:r>
        <w:t>is not the case</w:t>
      </w:r>
      <w:r w:rsidR="67FC12BF">
        <w:t xml:space="preserve"> now; </w:t>
      </w:r>
    </w:p>
    <w:p w14:paraId="79B7431F" w14:textId="30E334DB" w:rsidR="67FC12BF" w:rsidRDefault="00D22BB9" w:rsidP="00DF419B">
      <w:pPr>
        <w:pStyle w:val="BodyText"/>
        <w:widowControl w:val="0"/>
        <w:numPr>
          <w:ilvl w:val="0"/>
          <w:numId w:val="7"/>
        </w:numPr>
      </w:pPr>
      <w:r w:rsidRPr="4B8DF13A">
        <w:rPr>
          <w:rFonts w:eastAsia="Calibri" w:cs="Arial"/>
        </w:rPr>
        <w:t xml:space="preserve">asking to </w:t>
      </w:r>
      <w:r w:rsidR="004F2C23" w:rsidRPr="4B8DF13A">
        <w:rPr>
          <w:rFonts w:eastAsia="Calibri" w:cs="Arial"/>
        </w:rPr>
        <w:t>amortiz</w:t>
      </w:r>
      <w:r w:rsidR="00A60493" w:rsidRPr="4B8DF13A">
        <w:rPr>
          <w:rFonts w:eastAsia="Calibri" w:cs="Arial"/>
        </w:rPr>
        <w:t>e</w:t>
      </w:r>
      <w:r w:rsidR="004F2C23" w:rsidRPr="4B8DF13A">
        <w:rPr>
          <w:rFonts w:eastAsia="Calibri" w:cs="Arial"/>
        </w:rPr>
        <w:t xml:space="preserve"> regulatory assets over 5 years, consistent with the Commission’s order in Oncor’s recent rate case, Docket No. 53601</w:t>
      </w:r>
      <w:r w:rsidR="00892A50" w:rsidRPr="4B8DF13A">
        <w:rPr>
          <w:rFonts w:eastAsia="Calibri" w:cs="Arial"/>
        </w:rPr>
        <w:t xml:space="preserve">, instead of 3 years as </w:t>
      </w:r>
      <w:r w:rsidR="00A235CB" w:rsidRPr="4B8DF13A">
        <w:rPr>
          <w:rFonts w:eastAsia="Calibri" w:cs="Arial"/>
        </w:rPr>
        <w:t xml:space="preserve">the Company originally intended </w:t>
      </w:r>
      <w:r w:rsidR="00A60493" w:rsidRPr="4B8DF13A">
        <w:rPr>
          <w:rFonts w:eastAsia="Calibri" w:cs="Arial"/>
        </w:rPr>
        <w:t>(</w:t>
      </w:r>
      <w:r w:rsidR="00A235CB" w:rsidRPr="4B8DF13A">
        <w:rPr>
          <w:rFonts w:eastAsia="Calibri" w:cs="Arial"/>
        </w:rPr>
        <w:t xml:space="preserve">and </w:t>
      </w:r>
      <w:r w:rsidR="00AE25CE" w:rsidRPr="4B8DF13A">
        <w:rPr>
          <w:rFonts w:eastAsia="Calibri" w:cs="Arial"/>
        </w:rPr>
        <w:t>believes would be justified</w:t>
      </w:r>
      <w:r w:rsidR="00A60493" w:rsidRPr="4B8DF13A">
        <w:rPr>
          <w:rFonts w:eastAsia="Calibri" w:cs="Arial"/>
        </w:rPr>
        <w:t>)</w:t>
      </w:r>
      <w:r w:rsidR="004F2C23" w:rsidRPr="4B8DF13A">
        <w:rPr>
          <w:rFonts w:eastAsia="Calibri" w:cs="Arial"/>
        </w:rPr>
        <w:t xml:space="preserve">; </w:t>
      </w:r>
      <w:r w:rsidR="67FC12BF">
        <w:t>and</w:t>
      </w:r>
    </w:p>
    <w:p w14:paraId="65428333" w14:textId="7A535111" w:rsidR="67FC12BF" w:rsidRDefault="004F2C23" w:rsidP="00DF419B">
      <w:pPr>
        <w:pStyle w:val="BodyText"/>
        <w:widowControl w:val="0"/>
        <w:numPr>
          <w:ilvl w:val="0"/>
          <w:numId w:val="7"/>
        </w:numPr>
      </w:pPr>
      <w:r>
        <w:t>n</w:t>
      </w:r>
      <w:r w:rsidR="67FC12BF">
        <w:t>ot recommending an increase in depreciation expense, even though a material increase is supported by the updated depreciation study included in this application.</w:t>
      </w:r>
    </w:p>
    <w:p w14:paraId="7E8D0BFB" w14:textId="54BF7EDB" w:rsidR="001849A7" w:rsidRDefault="001849A7" w:rsidP="001849A7">
      <w:pPr>
        <w:pStyle w:val="BodyText"/>
        <w:widowControl w:val="0"/>
        <w:rPr>
          <w:b/>
        </w:rPr>
      </w:pPr>
      <w:r w:rsidRPr="3D7DEF90">
        <w:rPr>
          <w:b/>
        </w:rPr>
        <w:t>Q.</w:t>
      </w:r>
      <w:r>
        <w:tab/>
      </w:r>
      <w:r>
        <w:rPr>
          <w:b/>
        </w:rPr>
        <w:t>PLEASE PROVIDE AN ESTIMATE OF THE IMPACT OF TH</w:t>
      </w:r>
      <w:r w:rsidR="00D16B7F">
        <w:rPr>
          <w:b/>
        </w:rPr>
        <w:t>E ACTIONS TAKEN TO KEEP RATES AFFORDABLE AS PART OF THIS APPLICATION</w:t>
      </w:r>
      <w:r w:rsidR="00B85562">
        <w:rPr>
          <w:b/>
        </w:rPr>
        <w:t>.</w:t>
      </w:r>
    </w:p>
    <w:p w14:paraId="199B9818" w14:textId="73E0BEB7" w:rsidR="001849A7" w:rsidRDefault="001849A7" w:rsidP="001849A7">
      <w:pPr>
        <w:pStyle w:val="BodyText"/>
        <w:widowControl w:val="0"/>
      </w:pPr>
      <w:r>
        <w:t>A.</w:t>
      </w:r>
      <w:r>
        <w:tab/>
      </w:r>
      <w:r w:rsidR="1A6C84C1">
        <w:t xml:space="preserve">At </w:t>
      </w:r>
      <w:r w:rsidR="00EF268B">
        <w:t xml:space="preserve">a high level, the Company’s actions </w:t>
      </w:r>
      <w:r w:rsidR="6356198F">
        <w:t xml:space="preserve">described above </w:t>
      </w:r>
      <w:r w:rsidR="00EF268B">
        <w:t>reduce the total revenue requirement by almost $80 million</w:t>
      </w:r>
      <w:r w:rsidR="00BC0AA1">
        <w:t xml:space="preserve"> and </w:t>
      </w:r>
      <w:r w:rsidR="0070238C" w:rsidRPr="0070238C">
        <w:t xml:space="preserve">result in </w:t>
      </w:r>
      <w:r w:rsidR="00D50E52">
        <w:t>a requested</w:t>
      </w:r>
      <w:r w:rsidR="0070238C" w:rsidRPr="0070238C">
        <w:t xml:space="preserve"> increase on an average residential customer bill of approximately $1.25</w:t>
      </w:r>
      <w:r w:rsidR="00EF268B">
        <w:t xml:space="preserve">.  Of course, </w:t>
      </w:r>
      <w:r w:rsidR="00376F0A">
        <w:t xml:space="preserve">the actual impact of </w:t>
      </w:r>
      <w:r w:rsidR="00376F0A">
        <w:lastRenderedPageBreak/>
        <w:t xml:space="preserve">these reductions is dependent on </w:t>
      </w:r>
      <w:r w:rsidR="00C147F5">
        <w:t>the Commission’s final decisions in this case.  Figure JMR-13 below provides an estimate for each action described above.</w:t>
      </w:r>
    </w:p>
    <w:p w14:paraId="55D4913E" w14:textId="2D094E3C" w:rsidR="005673CD" w:rsidRPr="00064446" w:rsidRDefault="005673CD" w:rsidP="005673CD">
      <w:pPr>
        <w:jc w:val="center"/>
        <w:rPr>
          <w:b/>
        </w:rPr>
      </w:pPr>
      <w:r w:rsidRPr="00064446">
        <w:rPr>
          <w:b/>
        </w:rPr>
        <w:t>Figure JMR-</w:t>
      </w:r>
      <w:r w:rsidRPr="6FC8F048">
        <w:rPr>
          <w:b/>
          <w:bCs/>
        </w:rPr>
        <w:t>1</w:t>
      </w:r>
      <w:r>
        <w:rPr>
          <w:b/>
          <w:bCs/>
        </w:rPr>
        <w:t>3</w:t>
      </w:r>
    </w:p>
    <w:p w14:paraId="56D4E6A4" w14:textId="7B7E7D41" w:rsidR="005673CD" w:rsidRPr="00064446" w:rsidRDefault="005673CD" w:rsidP="005673CD">
      <w:pPr>
        <w:jc w:val="center"/>
        <w:rPr>
          <w:b/>
        </w:rPr>
      </w:pPr>
      <w:r>
        <w:rPr>
          <w:b/>
        </w:rPr>
        <w:t>Estimate</w:t>
      </w:r>
      <w:r w:rsidR="00392F63">
        <w:rPr>
          <w:b/>
        </w:rPr>
        <w:t>d Impact of Company Decisions to Address Affordability</w:t>
      </w:r>
      <w:r w:rsidR="008775A8">
        <w:rPr>
          <w:b/>
        </w:rPr>
        <w:t xml:space="preserve"> ($000s)</w:t>
      </w:r>
    </w:p>
    <w:p w14:paraId="0C531179" w14:textId="6B4FEF46" w:rsidR="005673CD" w:rsidRDefault="00D02E05" w:rsidP="026C23AE">
      <w:pPr>
        <w:pStyle w:val="BodyText"/>
        <w:widowControl w:val="0"/>
        <w:jc w:val="center"/>
      </w:pPr>
      <w:r>
        <w:rPr>
          <w:noProof/>
        </w:rPr>
        <w:drawing>
          <wp:inline distT="0" distB="0" distL="0" distR="0" wp14:anchorId="61C20924" wp14:editId="53C5A11E">
            <wp:extent cx="4381500" cy="819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6">
                      <a:extLst>
                        <a:ext uri="{28A0092B-C50C-407E-A947-70E740481C1C}">
                          <a14:useLocalDpi xmlns:a14="http://schemas.microsoft.com/office/drawing/2010/main" val="0"/>
                        </a:ext>
                      </a:extLst>
                    </a:blip>
                    <a:stretch>
                      <a:fillRect/>
                    </a:stretch>
                  </pic:blipFill>
                  <pic:spPr>
                    <a:xfrm>
                      <a:off x="0" y="0"/>
                      <a:ext cx="4381500" cy="819150"/>
                    </a:xfrm>
                    <a:prstGeom prst="rect">
                      <a:avLst/>
                    </a:prstGeom>
                  </pic:spPr>
                </pic:pic>
              </a:graphicData>
            </a:graphic>
          </wp:inline>
        </w:drawing>
      </w:r>
    </w:p>
    <w:p w14:paraId="741D138D" w14:textId="4E06DC3A" w:rsidR="00EF5BC8" w:rsidRDefault="00EF5BC8" w:rsidP="008B16F3">
      <w:pPr>
        <w:pStyle w:val="BodyText"/>
        <w:widowControl w:val="0"/>
      </w:pPr>
      <w:r w:rsidRPr="3D7DEF90">
        <w:rPr>
          <w:b/>
        </w:rPr>
        <w:t>Q.</w:t>
      </w:r>
      <w:r>
        <w:tab/>
      </w:r>
      <w:r w:rsidRPr="3D7DEF90">
        <w:rPr>
          <w:b/>
        </w:rPr>
        <w:t xml:space="preserve">WILL AFFORDABILITY SUFFER IF CENTERPOINT HOUSTON IS GRANTED </w:t>
      </w:r>
      <w:r w:rsidR="0069450A" w:rsidRPr="3D7DEF90">
        <w:rPr>
          <w:b/>
        </w:rPr>
        <w:t xml:space="preserve">THE </w:t>
      </w:r>
      <w:r w:rsidR="5233413A" w:rsidRPr="3D7DEF90">
        <w:rPr>
          <w:b/>
        </w:rPr>
        <w:t xml:space="preserve">ACTUAL </w:t>
      </w:r>
      <w:r w:rsidR="0069450A" w:rsidRPr="3D7DEF90">
        <w:rPr>
          <w:b/>
        </w:rPr>
        <w:t>CAPITAL STRUCTURE IT SEEKS IN THIS PROCEEDING?</w:t>
      </w:r>
    </w:p>
    <w:p w14:paraId="01B93877" w14:textId="21CB78EB" w:rsidR="0069450A" w:rsidRPr="0069450A" w:rsidRDefault="0069450A" w:rsidP="008B16F3">
      <w:pPr>
        <w:pStyle w:val="BodyText"/>
        <w:widowControl w:val="0"/>
      </w:pPr>
      <w:r>
        <w:t>A.</w:t>
      </w:r>
      <w:r>
        <w:tab/>
        <w:t xml:space="preserve">No. </w:t>
      </w:r>
      <w:r w:rsidR="716F4B48">
        <w:t xml:space="preserve"> First, before considering any of the benefits to the Company and its customers of using the </w:t>
      </w:r>
      <w:r w:rsidR="716F4B48" w:rsidRPr="4B8DF13A">
        <w:rPr>
          <w:i/>
          <w:iCs/>
        </w:rPr>
        <w:t xml:space="preserve">actual </w:t>
      </w:r>
      <w:r w:rsidR="716F4B48">
        <w:t xml:space="preserve">capital structure, as explained above, using the Company’s </w:t>
      </w:r>
      <w:r w:rsidR="716F4B48" w:rsidRPr="4B8DF13A">
        <w:rPr>
          <w:i/>
          <w:iCs/>
        </w:rPr>
        <w:t xml:space="preserve">actual </w:t>
      </w:r>
      <w:r w:rsidR="716F4B48">
        <w:t>capital structure results in residentia</w:t>
      </w:r>
      <w:r w:rsidR="33C70632">
        <w:t xml:space="preserve">l rates well below the rate of historic inflation (not to mention the recent higher inflation).  </w:t>
      </w:r>
    </w:p>
    <w:p w14:paraId="29421A6D" w14:textId="644983D9" w:rsidR="33C70632" w:rsidRDefault="33C70632" w:rsidP="008C467D">
      <w:pPr>
        <w:pStyle w:val="BodyText"/>
        <w:widowControl w:val="0"/>
        <w:ind w:firstLine="0"/>
      </w:pPr>
      <w:r>
        <w:t xml:space="preserve">But second, as explained in the testimony of Company witness </w:t>
      </w:r>
      <w:r w:rsidR="00583E73">
        <w:t>Jacqueline</w:t>
      </w:r>
      <w:r w:rsidR="0ACBA053">
        <w:t xml:space="preserve"> </w:t>
      </w:r>
      <w:r>
        <w:t xml:space="preserve">Richert, </w:t>
      </w:r>
      <w:r w:rsidR="493745F8">
        <w:t xml:space="preserve">rates that reflect the Company’s </w:t>
      </w:r>
      <w:r w:rsidR="493745F8" w:rsidRPr="4B8DF13A">
        <w:rPr>
          <w:i/>
          <w:iCs/>
        </w:rPr>
        <w:t xml:space="preserve">actual </w:t>
      </w:r>
      <w:r w:rsidR="493745F8">
        <w:t xml:space="preserve">capital structure yield benefits that offset the revenue increase resulting from using that </w:t>
      </w:r>
      <w:r w:rsidR="493745F8" w:rsidRPr="4B8DF13A">
        <w:rPr>
          <w:i/>
          <w:iCs/>
        </w:rPr>
        <w:t xml:space="preserve">actual </w:t>
      </w:r>
      <w:r w:rsidR="493745F8">
        <w:t xml:space="preserve">capital structure.  For example, </w:t>
      </w:r>
      <w:r w:rsidR="00C97196">
        <w:t xml:space="preserve">because the use of the Company’s actual capital structure supports an improved credit rating, </w:t>
      </w:r>
      <w:r w:rsidR="493745F8">
        <w:t xml:space="preserve">as the Company </w:t>
      </w:r>
      <w:r w:rsidR="0954BD9C">
        <w:t xml:space="preserve">refinances existing debt and takes on new debt, </w:t>
      </w:r>
      <w:r w:rsidR="1C88452B">
        <w:t xml:space="preserve">the cost of that debt </w:t>
      </w:r>
      <w:r w:rsidR="2D61A6DD">
        <w:t xml:space="preserve">(which is also paid by customers) will be materially lower.  Moreover, for unplanned borrowing needs, such as in the aftermath of a severe hurricane (which could result in costs in the $1 billion range that need to be financed), </w:t>
      </w:r>
      <w:r w:rsidR="6AE300A0">
        <w:t xml:space="preserve">a better credit rating would lower the borrowing costs that get passed on to customers.  </w:t>
      </w:r>
    </w:p>
    <w:bookmarkEnd w:id="19"/>
    <w:bookmarkEnd w:id="20"/>
    <w:bookmarkEnd w:id="21"/>
    <w:bookmarkEnd w:id="22"/>
    <w:p w14:paraId="7E0FED44" w14:textId="09797E4B" w:rsidR="00BB6DE2" w:rsidRDefault="00BB6DE2" w:rsidP="007F5A22">
      <w:pPr>
        <w:pStyle w:val="BodyText"/>
        <w:keepNext/>
        <w:keepLines/>
        <w:widowControl w:val="0"/>
      </w:pPr>
      <w:r w:rsidRPr="4B8DF13A">
        <w:rPr>
          <w:b/>
        </w:rPr>
        <w:t>Q.</w:t>
      </w:r>
      <w:r>
        <w:tab/>
      </w:r>
      <w:r w:rsidRPr="4B8DF13A">
        <w:rPr>
          <w:b/>
        </w:rPr>
        <w:t>DOES THIS CONCLUDE YOUR DIRECT TESTIMONY?</w:t>
      </w:r>
    </w:p>
    <w:p w14:paraId="26F583AE" w14:textId="01C9DDD7" w:rsidR="004828A9" w:rsidRPr="00BB6DE2" w:rsidRDefault="00BB6DE2" w:rsidP="007F5A22">
      <w:pPr>
        <w:pStyle w:val="BodyText"/>
        <w:keepNext/>
        <w:keepLines/>
        <w:widowControl w:val="0"/>
      </w:pPr>
      <w:r>
        <w:lastRenderedPageBreak/>
        <w:t>A.</w:t>
      </w:r>
      <w:r>
        <w:tab/>
        <w:t>Yes.</w:t>
      </w:r>
    </w:p>
    <w:sectPr w:rsidR="004828A9" w:rsidRPr="00BB6DE2" w:rsidSect="00194051">
      <w:headerReference w:type="default" r:id="rId27"/>
      <w:pgSz w:w="12240" w:h="15840"/>
      <w:pgMar w:top="1440" w:right="1440" w:bottom="1440" w:left="2160" w:header="720" w:footer="720" w:gutter="0"/>
      <w:lnNumType w:countBy="1"/>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6C15A" w14:textId="77777777" w:rsidR="00BD70AE" w:rsidRDefault="00BD70AE" w:rsidP="0068060C">
      <w:r>
        <w:separator/>
      </w:r>
    </w:p>
  </w:endnote>
  <w:endnote w:type="continuationSeparator" w:id="0">
    <w:p w14:paraId="3C4C7A91" w14:textId="77777777" w:rsidR="00BD70AE" w:rsidRDefault="00BD70AE" w:rsidP="0068060C">
      <w:r>
        <w:continuationSeparator/>
      </w:r>
    </w:p>
  </w:endnote>
  <w:endnote w:type="continuationNotice" w:id="1">
    <w:p w14:paraId="6AFA3C51" w14:textId="77777777" w:rsidR="00BD70AE" w:rsidRDefault="00BD7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E6E0D" w14:textId="77777777" w:rsidR="00B67027" w:rsidRPr="00DA51D9" w:rsidRDefault="00B67027" w:rsidP="00DA51D9">
    <w:pPr>
      <w:pStyle w:val="Footer"/>
      <w:spacing w:before="120"/>
      <w:jc w:val="center"/>
      <w:rPr>
        <w:b/>
        <w:sz w:val="20"/>
        <w:szCs w:val="20"/>
      </w:rPr>
    </w:pPr>
    <w:r w:rsidRPr="00DA51D9">
      <w:rPr>
        <w:b/>
        <w:sz w:val="20"/>
        <w:szCs w:val="20"/>
      </w:rPr>
      <w:t>Direct Testimony of</w:t>
    </w:r>
    <w:r>
      <w:rPr>
        <w:b/>
        <w:sz w:val="20"/>
        <w:szCs w:val="20"/>
      </w:rPr>
      <w:t xml:space="preserve"> Jason M. Ryan</w:t>
    </w:r>
  </w:p>
  <w:p w14:paraId="1870BF44" w14:textId="77777777" w:rsidR="00B67027" w:rsidRPr="00DA51D9" w:rsidDel="00C66851" w:rsidRDefault="00B67027" w:rsidP="00C66851">
    <w:pPr>
      <w:pStyle w:val="Footer"/>
      <w:jc w:val="center"/>
      <w:rPr>
        <w:b/>
        <w:sz w:val="20"/>
        <w:szCs w:val="20"/>
      </w:rPr>
    </w:pPr>
    <w:r w:rsidRPr="00DA51D9">
      <w:rPr>
        <w:b/>
        <w:sz w:val="20"/>
        <w:szCs w:val="20"/>
      </w:rPr>
      <w:t>CenterPoint Energy Houston Electric,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4B326" w14:textId="77777777" w:rsidR="00BD70AE" w:rsidRDefault="00BD70AE" w:rsidP="0068060C">
      <w:r>
        <w:separator/>
      </w:r>
    </w:p>
  </w:footnote>
  <w:footnote w:type="continuationSeparator" w:id="0">
    <w:p w14:paraId="5D0F2DED" w14:textId="77777777" w:rsidR="00BD70AE" w:rsidRDefault="00BD70AE" w:rsidP="0068060C">
      <w:r>
        <w:continuationSeparator/>
      </w:r>
    </w:p>
  </w:footnote>
  <w:footnote w:type="continuationNotice" w:id="1">
    <w:p w14:paraId="02C21AB5" w14:textId="77777777" w:rsidR="00BD70AE" w:rsidRDefault="00BD70AE"/>
  </w:footnote>
  <w:footnote w:id="2">
    <w:p w14:paraId="3E03577E" w14:textId="7735A5C7" w:rsidR="00BD65B9" w:rsidRDefault="00BD65B9">
      <w:pPr>
        <w:pStyle w:val="FootnoteText"/>
      </w:pPr>
      <w:r>
        <w:rPr>
          <w:rStyle w:val="FootnoteReference"/>
        </w:rPr>
        <w:footnoteRef/>
      </w:r>
      <w:r>
        <w:t xml:space="preserve"> </w:t>
      </w:r>
      <w:r w:rsidR="005E697A">
        <w:t>S.B. 1699</w:t>
      </w:r>
      <w:r w:rsidR="00684FD8">
        <w:t xml:space="preserve">, 88th </w:t>
      </w:r>
      <w:r w:rsidR="00066458">
        <w:t>Le</w:t>
      </w:r>
      <w:r w:rsidR="004F7163">
        <w:t>g., R.S. (2023)</w:t>
      </w:r>
      <w:r w:rsidR="00121044">
        <w:t xml:space="preserve">, amending </w:t>
      </w:r>
      <w:r w:rsidR="00B54F6C">
        <w:t>Public Utility Regulatory Act (PURA) § 39.101(b)</w:t>
      </w:r>
      <w:r w:rsidR="00006508">
        <w:t xml:space="preserve"> to </w:t>
      </w:r>
      <w:r w:rsidR="00514E91">
        <w:t>permit</w:t>
      </w:r>
      <w:r w:rsidR="00006508">
        <w:t xml:space="preserve"> </w:t>
      </w:r>
      <w:r w:rsidR="00540EAB">
        <w:t xml:space="preserve">customer participation in demand response programs </w:t>
      </w:r>
      <w:r w:rsidR="00F64B28">
        <w:t>offered by</w:t>
      </w:r>
      <w:r w:rsidR="00540EAB">
        <w:t xml:space="preserve"> retail electric providers</w:t>
      </w:r>
      <w:r w:rsidR="000E0EC9">
        <w:t>.</w:t>
      </w:r>
      <w:r w:rsidR="005E697A">
        <w:t xml:space="preserve"> </w:t>
      </w:r>
    </w:p>
  </w:footnote>
  <w:footnote w:id="3">
    <w:p w14:paraId="38F14CA8" w14:textId="4A0F5E00" w:rsidR="00A76560" w:rsidRDefault="00A76560" w:rsidP="00A76560">
      <w:pPr>
        <w:pStyle w:val="FootnoteText"/>
      </w:pPr>
      <w:r>
        <w:rPr>
          <w:rStyle w:val="FootnoteReference"/>
        </w:rPr>
        <w:footnoteRef/>
      </w:r>
      <w:r>
        <w:t xml:space="preserve"> H.B. </w:t>
      </w:r>
      <w:r w:rsidR="00BC1577">
        <w:t>2263</w:t>
      </w:r>
      <w:r>
        <w:t xml:space="preserve">, 88th Leg., R.S. (2023), </w:t>
      </w:r>
      <w:r w:rsidR="00BC1577">
        <w:t xml:space="preserve">creating </w:t>
      </w:r>
      <w:r w:rsidR="000E0EC9">
        <w:t>Tex. Util. Code §</w:t>
      </w:r>
      <w:r w:rsidR="00282F87">
        <w:t>§</w:t>
      </w:r>
      <w:r w:rsidR="000E0EC9">
        <w:t xml:space="preserve"> </w:t>
      </w:r>
      <w:r w:rsidR="000D78E0">
        <w:t>104.401-40</w:t>
      </w:r>
      <w:r w:rsidR="00282F87">
        <w:t>3</w:t>
      </w:r>
      <w:r w:rsidR="00182368">
        <w:t xml:space="preserve"> to </w:t>
      </w:r>
      <w:r w:rsidR="00514E91">
        <w:t>permit</w:t>
      </w:r>
      <w:r w:rsidR="00A57F5F">
        <w:t xml:space="preserve"> gas local distribution companies </w:t>
      </w:r>
      <w:r w:rsidR="00704D69">
        <w:t>to offer energy conservation</w:t>
      </w:r>
      <w:r w:rsidR="003D35F4">
        <w:t xml:space="preserve"> </w:t>
      </w:r>
      <w:r w:rsidR="00514E91">
        <w:t>programs to customers.</w:t>
      </w:r>
      <w:r w:rsidR="00182368" w:rsidDel="00651A9A">
        <w:t xml:space="preserve"> </w:t>
      </w:r>
    </w:p>
  </w:footnote>
  <w:footnote w:id="4">
    <w:p w14:paraId="1B8442A9" w14:textId="2496B948" w:rsidR="003448CE" w:rsidRDefault="003448CE" w:rsidP="003448CE">
      <w:pPr>
        <w:pStyle w:val="FootnoteText"/>
      </w:pPr>
      <w:r>
        <w:rPr>
          <w:rStyle w:val="FootnoteReference"/>
        </w:rPr>
        <w:footnoteRef/>
      </w:r>
      <w:r>
        <w:t xml:space="preserve"> S.B. 1</w:t>
      </w:r>
      <w:r w:rsidR="00516D3A">
        <w:t>015</w:t>
      </w:r>
      <w:r>
        <w:t xml:space="preserve">, 88th Leg., R.S. (2023), amending PURA § </w:t>
      </w:r>
      <w:r w:rsidR="001C3C21">
        <w:t>36.210</w:t>
      </w:r>
      <w:r>
        <w:t xml:space="preserve"> to </w:t>
      </w:r>
      <w:r w:rsidR="00512A4D">
        <w:t>streamline distribution cost recovery factor proceedi</w:t>
      </w:r>
      <w:r w:rsidR="00D064ED">
        <w:t xml:space="preserve">ngs and permit </w:t>
      </w:r>
      <w:r w:rsidR="003027AA">
        <w:t>two filings per year</w:t>
      </w:r>
      <w:r>
        <w:t xml:space="preserve">. </w:t>
      </w:r>
    </w:p>
  </w:footnote>
  <w:footnote w:id="5">
    <w:p w14:paraId="2948DF86" w14:textId="712B9CB7" w:rsidR="000504BB" w:rsidRDefault="000504BB" w:rsidP="000504BB">
      <w:pPr>
        <w:pStyle w:val="FootnoteText"/>
      </w:pPr>
      <w:r>
        <w:rPr>
          <w:rStyle w:val="FootnoteReference"/>
        </w:rPr>
        <w:footnoteRef/>
      </w:r>
      <w:r>
        <w:t xml:space="preserve"> S.B. 1016, 88th Leg., R.S. (2023), </w:t>
      </w:r>
      <w:r w:rsidR="00542E1B">
        <w:t>creating</w:t>
      </w:r>
      <w:r>
        <w:t xml:space="preserve"> PURA § 36.</w:t>
      </w:r>
      <w:r w:rsidR="00542E1B">
        <w:t>067</w:t>
      </w:r>
      <w:r>
        <w:t xml:space="preserve"> to </w:t>
      </w:r>
      <w:r w:rsidR="00D70144">
        <w:t>permit</w:t>
      </w:r>
      <w:r w:rsidR="00BA4AA2">
        <w:t xml:space="preserve"> recovery of </w:t>
      </w:r>
      <w:r w:rsidR="00B276D5">
        <w:t xml:space="preserve">electric utility employee </w:t>
      </w:r>
      <w:r w:rsidR="00BA4AA2">
        <w:t>compensation and benefit expenses</w:t>
      </w:r>
      <w:r>
        <w:t xml:space="preserve">. </w:t>
      </w:r>
    </w:p>
  </w:footnote>
  <w:footnote w:id="6">
    <w:p w14:paraId="6E9B9DBF" w14:textId="7BAA2C09" w:rsidR="00FA0349" w:rsidRDefault="00FA0349" w:rsidP="00FA0349">
      <w:pPr>
        <w:pStyle w:val="FootnoteText"/>
      </w:pPr>
      <w:r>
        <w:rPr>
          <w:rStyle w:val="FootnoteReference"/>
        </w:rPr>
        <w:footnoteRef/>
      </w:r>
      <w:r>
        <w:t xml:space="preserve"> H.B. 1520, 87th Leg., R.S. (2021), </w:t>
      </w:r>
      <w:r w:rsidR="00CD29A4">
        <w:t>creating</w:t>
      </w:r>
      <w:r w:rsidR="00F212F8">
        <w:t xml:space="preserve"> Tex. Gov</w:t>
      </w:r>
      <w:r w:rsidR="00CD29A4">
        <w:t>’</w:t>
      </w:r>
      <w:r w:rsidR="00F466A1">
        <w:t>t Code §</w:t>
      </w:r>
      <w:r w:rsidR="00CD29A4">
        <w:t xml:space="preserve"> 1232.1072</w:t>
      </w:r>
      <w:r w:rsidR="002A41B9">
        <w:t xml:space="preserve"> </w:t>
      </w:r>
      <w:r w:rsidR="00D34051">
        <w:t>and Tex. Util. Code §§ 104.361-</w:t>
      </w:r>
      <w:r w:rsidR="009A35D3">
        <w:t xml:space="preserve">380 </w:t>
      </w:r>
      <w:r w:rsidR="002A41B9">
        <w:t>to authorize the Texas Public Finance Authority</w:t>
      </w:r>
      <w:r w:rsidR="00111562">
        <w:t xml:space="preserve"> to issue customer rate relief bonds</w:t>
      </w:r>
      <w:r w:rsidR="00A81CEB">
        <w:t xml:space="preserve"> for extraordinary gas costs incurred during Winter Storm Uri that were reviewed and approved by </w:t>
      </w:r>
      <w:r w:rsidR="00D9300A">
        <w:t>the Railroad Commission of Texas</w:t>
      </w:r>
      <w:r>
        <w:t xml:space="preserve">. </w:t>
      </w:r>
    </w:p>
  </w:footnote>
  <w:footnote w:id="7">
    <w:p w14:paraId="37C51ED7" w14:textId="7C3648EB" w:rsidR="00D83FD3" w:rsidRDefault="00D83FD3" w:rsidP="00D83FD3">
      <w:pPr>
        <w:pStyle w:val="FootnoteText"/>
      </w:pPr>
      <w:r>
        <w:rPr>
          <w:rStyle w:val="FootnoteReference"/>
        </w:rPr>
        <w:footnoteRef/>
      </w:r>
      <w:r>
        <w:t xml:space="preserve"> S.B. 1281, 87th Leg., R.S. (2021), amending PURA § 37.052 to </w:t>
      </w:r>
      <w:r w:rsidR="00E91537">
        <w:t>add c</w:t>
      </w:r>
      <w:r w:rsidR="004E1225">
        <w:t>riteria</w:t>
      </w:r>
      <w:r w:rsidR="00480CA6">
        <w:t xml:space="preserve"> for certificates of convenience and necessity</w:t>
      </w:r>
      <w:r w:rsidR="00C8429D">
        <w:t xml:space="preserve"> for certain types of transmission line projects</w:t>
      </w:r>
      <w:r>
        <w:t xml:space="preserve">. </w:t>
      </w:r>
    </w:p>
  </w:footnote>
  <w:footnote w:id="8">
    <w:p w14:paraId="27CE24FB" w14:textId="4060C3C6" w:rsidR="00BE7509" w:rsidRDefault="00BE7509" w:rsidP="00BE7509">
      <w:pPr>
        <w:pStyle w:val="FootnoteText"/>
      </w:pPr>
      <w:r>
        <w:rPr>
          <w:rStyle w:val="FootnoteReference"/>
        </w:rPr>
        <w:footnoteRef/>
      </w:r>
      <w:r>
        <w:t xml:space="preserve"> S.B. 1</w:t>
      </w:r>
      <w:r w:rsidR="00020B9B">
        <w:t>076</w:t>
      </w:r>
      <w:r>
        <w:t>, 8</w:t>
      </w:r>
      <w:r w:rsidR="00020B9B">
        <w:t>8</w:t>
      </w:r>
      <w:r>
        <w:t>th Leg., R.S. (202</w:t>
      </w:r>
      <w:r w:rsidR="007D4DA9">
        <w:t>3</w:t>
      </w:r>
      <w:r>
        <w:t>), amending PURA § 37.05</w:t>
      </w:r>
      <w:r w:rsidR="007D4DA9">
        <w:t>7</w:t>
      </w:r>
      <w:r>
        <w:t xml:space="preserve"> to </w:t>
      </w:r>
      <w:r w:rsidR="007D4DA9">
        <w:t xml:space="preserve">shorten the </w:t>
      </w:r>
      <w:r w:rsidR="00E4418F">
        <w:t>statutory deadline for approval of</w:t>
      </w:r>
      <w:r>
        <w:t xml:space="preserve"> certificates of convenience and necessity. </w:t>
      </w:r>
    </w:p>
  </w:footnote>
  <w:footnote w:id="9">
    <w:p w14:paraId="5BF8EC96" w14:textId="6E018448" w:rsidR="16FAEE6B" w:rsidRPr="00432F41" w:rsidRDefault="16FAEE6B">
      <w:pPr>
        <w:rPr>
          <w:sz w:val="20"/>
          <w:szCs w:val="20"/>
        </w:rPr>
      </w:pPr>
      <w:r w:rsidRPr="00432F41">
        <w:rPr>
          <w:sz w:val="20"/>
          <w:szCs w:val="20"/>
          <w:vertAlign w:val="superscript"/>
        </w:rPr>
        <w:footnoteRef/>
      </w:r>
      <w:r w:rsidR="07BB9BF9" w:rsidRPr="00432F41">
        <w:rPr>
          <w:sz w:val="20"/>
          <w:szCs w:val="20"/>
        </w:rPr>
        <w:t xml:space="preserve"> </w:t>
      </w:r>
      <w:hyperlink r:id="rId1" w:history="1">
        <w:r w:rsidR="07BB9BF9" w:rsidRPr="00F365FB">
          <w:rPr>
            <w:rStyle w:val="Hyperlink"/>
            <w:sz w:val="20"/>
            <w:szCs w:val="20"/>
          </w:rPr>
          <w:t>https://www.tmc.edu/</w:t>
        </w:r>
      </w:hyperlink>
      <w:r w:rsidR="07BB9BF9" w:rsidRPr="00F365FB">
        <w:rPr>
          <w:sz w:val="20"/>
          <w:szCs w:val="20"/>
        </w:rPr>
        <w:t xml:space="preserve"> (last accessed Feb</w:t>
      </w:r>
      <w:r w:rsidR="00024BEA">
        <w:rPr>
          <w:sz w:val="20"/>
          <w:szCs w:val="20"/>
        </w:rPr>
        <w:t>.</w:t>
      </w:r>
      <w:r w:rsidR="07BB9BF9" w:rsidRPr="00F365FB">
        <w:rPr>
          <w:sz w:val="20"/>
          <w:szCs w:val="20"/>
        </w:rPr>
        <w:t xml:space="preserve"> 9, 2024</w:t>
      </w:r>
      <w:r w:rsidR="3D5678C2" w:rsidRPr="00F365FB">
        <w:rPr>
          <w:sz w:val="20"/>
          <w:szCs w:val="20"/>
        </w:rPr>
        <w:t>).</w:t>
      </w:r>
      <w:r w:rsidR="40F72450" w:rsidRPr="00F365FB">
        <w:rPr>
          <w:sz w:val="20"/>
          <w:szCs w:val="20"/>
        </w:rPr>
        <w:t xml:space="preserve"> </w:t>
      </w:r>
    </w:p>
  </w:footnote>
  <w:footnote w:id="10">
    <w:p w14:paraId="679EB2A8" w14:textId="5FBDDA7C" w:rsidR="00D15FAE" w:rsidRDefault="00D15FAE">
      <w:pPr>
        <w:pStyle w:val="FootnoteText"/>
      </w:pPr>
      <w:r>
        <w:rPr>
          <w:rStyle w:val="FootnoteReference"/>
        </w:rPr>
        <w:footnoteRef/>
      </w:r>
      <w:r>
        <w:t xml:space="preserve"> </w:t>
      </w:r>
      <w:hyperlink r:id="rId2" w:history="1">
        <w:r w:rsidR="00432F41" w:rsidRPr="00997DB7">
          <w:rPr>
            <w:rStyle w:val="Hyperlink"/>
          </w:rPr>
          <w:t>https://porthouston.com/about/our-port/statistics/</w:t>
        </w:r>
      </w:hyperlink>
      <w:r w:rsidR="00432F41">
        <w:t xml:space="preserve"> (last accessed Feb</w:t>
      </w:r>
      <w:r w:rsidR="00024BEA">
        <w:t>.</w:t>
      </w:r>
      <w:r w:rsidR="00432F41">
        <w:t xml:space="preserve"> 9, 2024).</w:t>
      </w:r>
    </w:p>
  </w:footnote>
  <w:footnote w:id="11">
    <w:p w14:paraId="6C97785F" w14:textId="227E2818" w:rsidR="00662865" w:rsidRDefault="00662865">
      <w:pPr>
        <w:pStyle w:val="FootnoteText"/>
      </w:pPr>
      <w:r>
        <w:rPr>
          <w:rStyle w:val="FootnoteReference"/>
        </w:rPr>
        <w:footnoteRef/>
      </w:r>
      <w:r>
        <w:t xml:space="preserve"> </w:t>
      </w:r>
      <w:hyperlink r:id="rId3" w:history="1">
        <w:r w:rsidRPr="00997DB7">
          <w:rPr>
            <w:rStyle w:val="Hyperlink"/>
          </w:rPr>
          <w:t>https://www.fly2houston.com/biz/about</w:t>
        </w:r>
      </w:hyperlink>
      <w:r>
        <w:t xml:space="preserve"> (last accessed Feb</w:t>
      </w:r>
      <w:r w:rsidR="00024BEA">
        <w:t>.</w:t>
      </w:r>
      <w:r>
        <w:t xml:space="preserve"> 9, 2024). </w:t>
      </w:r>
    </w:p>
  </w:footnote>
  <w:footnote w:id="12">
    <w:p w14:paraId="3FABFAC0" w14:textId="4E350DD3" w:rsidR="008751CE" w:rsidRDefault="008751CE">
      <w:pPr>
        <w:pStyle w:val="FootnoteText"/>
      </w:pPr>
      <w:r>
        <w:rPr>
          <w:rStyle w:val="FootnoteReference"/>
        </w:rPr>
        <w:footnoteRef/>
      </w:r>
      <w:r>
        <w:t xml:space="preserve"> </w:t>
      </w:r>
      <w:hyperlink r:id="rId4" w:history="1">
        <w:r w:rsidR="00673748" w:rsidRPr="00997DB7">
          <w:rPr>
            <w:rStyle w:val="Hyperlink"/>
          </w:rPr>
          <w:t>https://www.houston.org/houston-data/fortune-500-companies</w:t>
        </w:r>
      </w:hyperlink>
      <w:r w:rsidR="00673748">
        <w:t xml:space="preserve"> (last accessed February 9, 2024).</w:t>
      </w:r>
    </w:p>
  </w:footnote>
  <w:footnote w:id="13">
    <w:p w14:paraId="22EBEC6C" w14:textId="6DF0CC13" w:rsidR="00F95848" w:rsidRDefault="00F95848">
      <w:pPr>
        <w:pStyle w:val="FootnoteText"/>
      </w:pPr>
      <w:r>
        <w:rPr>
          <w:rStyle w:val="FootnoteReference"/>
        </w:rPr>
        <w:footnoteRef/>
      </w:r>
      <w:r>
        <w:t xml:space="preserve"> The Texas Demographic Center is housed within The University of Texas at San Antonio and the Stephen F. Austin building in the Capitol Complex in Austin.</w:t>
      </w:r>
    </w:p>
  </w:footnote>
  <w:footnote w:id="14">
    <w:p w14:paraId="46503A7F" w14:textId="66ACDAA4" w:rsidR="002A2089" w:rsidRPr="002A2089" w:rsidRDefault="00A47B8F" w:rsidP="002A2089">
      <w:pPr>
        <w:pStyle w:val="FootnoteText"/>
        <w:numPr>
          <w:ilvl w:val="0"/>
          <w:numId w:val="5"/>
        </w:numPr>
      </w:pPr>
      <w:r>
        <w:rPr>
          <w:rStyle w:val="FootnoteReference"/>
        </w:rPr>
        <w:footnoteRef/>
      </w:r>
      <w:r>
        <w:t xml:space="preserve"> </w:t>
      </w:r>
      <w:r w:rsidR="002A2089" w:rsidRPr="002A2089">
        <w:t>NOAA National Centers for Environmental Information (NCEI) U.S. Billion-Dollar Weather and Climate Disasters (2024). </w:t>
      </w:r>
      <w:hyperlink r:id="rId5" w:history="1">
        <w:r w:rsidR="002A2089" w:rsidRPr="002A2089">
          <w:rPr>
            <w:rStyle w:val="Hyperlink"/>
          </w:rPr>
          <w:t>https://www.ncei.noaa.gov/access/billions/</w:t>
        </w:r>
      </w:hyperlink>
      <w:r w:rsidR="002A2089" w:rsidRPr="002A2089">
        <w:t>, DOI: </w:t>
      </w:r>
      <w:hyperlink r:id="rId6" w:history="1">
        <w:r w:rsidR="002A2089" w:rsidRPr="002A2089">
          <w:rPr>
            <w:rStyle w:val="Hyperlink"/>
          </w:rPr>
          <w:t>10.25921/stkw-7w73</w:t>
        </w:r>
      </w:hyperlink>
      <w:r w:rsidR="002A2089">
        <w:t xml:space="preserve"> (last accessed on February 9, 2024).</w:t>
      </w:r>
    </w:p>
    <w:p w14:paraId="4D05E261" w14:textId="0EE0F2EE" w:rsidR="00A47B8F" w:rsidRDefault="00A47B8F">
      <w:pPr>
        <w:pStyle w:val="FootnoteText"/>
      </w:pPr>
    </w:p>
  </w:footnote>
  <w:footnote w:id="15">
    <w:p w14:paraId="72E5F45F" w14:textId="5AF74D04" w:rsidR="007C7DBE" w:rsidRPr="0056767C" w:rsidRDefault="007C7DBE">
      <w:pPr>
        <w:pStyle w:val="FootnoteText"/>
      </w:pPr>
      <w:r>
        <w:rPr>
          <w:rStyle w:val="FootnoteReference"/>
        </w:rPr>
        <w:footnoteRef/>
      </w:r>
      <w:r>
        <w:t xml:space="preserve"> </w:t>
      </w:r>
      <w:r w:rsidR="00E95527">
        <w:rPr>
          <w:i/>
          <w:iCs/>
        </w:rPr>
        <w:t xml:space="preserve">Application of CenterPoint Energy Houston Electric, LLC for Authority to Change </w:t>
      </w:r>
      <w:r w:rsidR="00525463">
        <w:rPr>
          <w:i/>
          <w:iCs/>
        </w:rPr>
        <w:t>Rates</w:t>
      </w:r>
      <w:r w:rsidR="0056767C">
        <w:t>, Docket No. 49421</w:t>
      </w:r>
      <w:r w:rsidR="00E177EA">
        <w:t xml:space="preserve">, Statement of Intent </w:t>
      </w:r>
      <w:r w:rsidR="000F2FFE">
        <w:t xml:space="preserve">and Application </w:t>
      </w:r>
      <w:r w:rsidR="00960CF8">
        <w:t xml:space="preserve">at </w:t>
      </w:r>
      <w:r w:rsidR="00E00FD2">
        <w:t>1-2 (</w:t>
      </w:r>
      <w:r w:rsidR="00677067">
        <w:t>April 5, 2019).</w:t>
      </w:r>
    </w:p>
  </w:footnote>
  <w:footnote w:id="16">
    <w:p w14:paraId="15084952" w14:textId="638D79A9" w:rsidR="000D39E5" w:rsidRDefault="000D39E5" w:rsidP="000D39E5">
      <w:pPr>
        <w:pStyle w:val="FootnoteText"/>
      </w:pPr>
      <w:r>
        <w:rPr>
          <w:rStyle w:val="FootnoteReference"/>
        </w:rPr>
        <w:footnoteRef/>
      </w:r>
      <w:r>
        <w:t xml:space="preserve"> S.B. 7, 76th Leg., R.S. (1999), creating </w:t>
      </w:r>
      <w:r w:rsidR="00B7313F">
        <w:t>Chapter 39 of PURA</w:t>
      </w:r>
      <w:r>
        <w:t xml:space="preserve"> to </w:t>
      </w:r>
      <w:r w:rsidR="000574F9">
        <w:t xml:space="preserve">unbundle </w:t>
      </w:r>
      <w:r w:rsidR="0054603F">
        <w:t xml:space="preserve">vertically integrated utilities in the ERCOT power region and </w:t>
      </w:r>
      <w:r w:rsidR="005C0C8D">
        <w:t>transition to a competitive retail electric market</w:t>
      </w:r>
      <w:r>
        <w:t xml:space="preserve">. </w:t>
      </w:r>
    </w:p>
  </w:footnote>
  <w:footnote w:id="17">
    <w:p w14:paraId="05BEE621" w14:textId="06B1D925" w:rsidR="00267BF9" w:rsidRPr="00715DAC" w:rsidRDefault="00267BF9">
      <w:pPr>
        <w:pStyle w:val="FootnoteText"/>
      </w:pPr>
      <w:r>
        <w:rPr>
          <w:rStyle w:val="FootnoteReference"/>
        </w:rPr>
        <w:footnoteRef/>
      </w:r>
      <w:r>
        <w:t xml:space="preserve"> </w:t>
      </w:r>
      <w:r w:rsidR="00046A7E">
        <w:t>Gee</w:t>
      </w:r>
      <w:r w:rsidR="00715DAC">
        <w:t xml:space="preserve">, Isabella </w:t>
      </w:r>
      <w:r w:rsidR="00715DAC">
        <w:rPr>
          <w:i/>
          <w:iCs/>
        </w:rPr>
        <w:t>et al</w:t>
      </w:r>
      <w:r w:rsidR="00D77651">
        <w:t>, The University of Texas at Austin, “Don’t Mess with Texas</w:t>
      </w:r>
      <w:r w:rsidR="00B02D28">
        <w:t>: Getting the Lone Star State to Net-Zero by 2050</w:t>
      </w:r>
      <w:r w:rsidR="00703ACC">
        <w:t xml:space="preserve">” at </w:t>
      </w:r>
      <w:r w:rsidR="0093070E">
        <w:t>23</w:t>
      </w:r>
      <w:r w:rsidR="00E97645">
        <w:t>.</w:t>
      </w:r>
      <w:r w:rsidR="00F95848">
        <w:t xml:space="preserve"> </w:t>
      </w:r>
      <w:hyperlink r:id="rId7" w:history="1">
        <w:r w:rsidR="00F95848">
          <w:rPr>
            <w:rStyle w:val="Hyperlink"/>
          </w:rPr>
          <w:t>UT_Texas_Net_Zero_by_2050_April2022_Full_Report.pdf (utexas.edu)</w:t>
        </w:r>
      </w:hyperlink>
      <w:r w:rsidR="00F95848">
        <w:t xml:space="preserve">. </w:t>
      </w:r>
    </w:p>
  </w:footnote>
  <w:footnote w:id="18">
    <w:p w14:paraId="3755804C" w14:textId="070C987A" w:rsidR="00E97645" w:rsidRPr="00FD03A8" w:rsidRDefault="00E97645">
      <w:pPr>
        <w:pStyle w:val="FootnoteText"/>
      </w:pPr>
      <w:r>
        <w:rPr>
          <w:rStyle w:val="FootnoteReference"/>
        </w:rPr>
        <w:footnoteRef/>
      </w:r>
      <w:r w:rsidR="4B8DF13A">
        <w:t xml:space="preserve"> </w:t>
      </w:r>
      <w:r w:rsidR="4B8DF13A" w:rsidRPr="4B8DF13A">
        <w:rPr>
          <w:i/>
          <w:iCs/>
        </w:rPr>
        <w:t>Id</w:t>
      </w:r>
      <w:r w:rsidR="4B8DF13A">
        <w:t xml:space="preserve">. at 38 (Figure 3.2, showing overall electricity demand in Texas more than doubling by 2050 compared to 2020 for all net-zero scenarios). </w:t>
      </w:r>
    </w:p>
  </w:footnote>
  <w:footnote w:id="19">
    <w:p w14:paraId="7B25C4CD" w14:textId="22CC2AF0" w:rsidR="00470FF3" w:rsidRDefault="00470FF3">
      <w:pPr>
        <w:pStyle w:val="FootnoteText"/>
      </w:pPr>
      <w:r>
        <w:rPr>
          <w:rStyle w:val="FootnoteReference"/>
        </w:rPr>
        <w:footnoteRef/>
      </w:r>
      <w:r>
        <w:t xml:space="preserve"> </w:t>
      </w:r>
      <w:r w:rsidR="0073795E">
        <w:t>U.S. Energy In</w:t>
      </w:r>
      <w:r w:rsidR="00C511D7">
        <w:t xml:space="preserve">formation </w:t>
      </w:r>
      <w:r w:rsidR="00941640">
        <w:t xml:space="preserve">Administration, </w:t>
      </w:r>
      <w:r w:rsidR="0036774F">
        <w:t>Natural Gas Weekly Update</w:t>
      </w:r>
      <w:r w:rsidR="00C713D7">
        <w:t xml:space="preserve">, </w:t>
      </w:r>
      <w:r w:rsidR="00A67E23">
        <w:t xml:space="preserve">September 12, 2019, found at </w:t>
      </w:r>
      <w:hyperlink r:id="rId8" w:anchor=":~:text=Freeport%20LNG%20requires%20690%20megawatts,was%20less%20than%2080%20MW" w:history="1">
        <w:r w:rsidR="00775030" w:rsidRPr="00521BAB">
          <w:rPr>
            <w:rStyle w:val="Hyperlink"/>
          </w:rPr>
          <w:t>https://www.eia.gov/naturalgas/weekly/archivenew_ngwu/2019/09_12/#:~:text=Freeport%20LNG%20requires%20690%20megawatts,was%20less%20than%2080%20MW</w:t>
        </w:r>
      </w:hyperlink>
      <w:r w:rsidR="008425C7" w:rsidRPr="008425C7">
        <w:t>.</w:t>
      </w:r>
      <w:r w:rsidR="00775030">
        <w:t xml:space="preserve"> </w:t>
      </w:r>
    </w:p>
  </w:footnote>
  <w:footnote w:id="20">
    <w:p w14:paraId="64CA0BF7" w14:textId="77777777" w:rsidR="00D93CC6" w:rsidRPr="002175BE" w:rsidRDefault="00D93CC6" w:rsidP="00D93CC6">
      <w:pPr>
        <w:rPr>
          <w:sz w:val="20"/>
          <w:szCs w:val="20"/>
        </w:rPr>
      </w:pPr>
      <w:r w:rsidRPr="002175BE">
        <w:rPr>
          <w:sz w:val="20"/>
          <w:szCs w:val="20"/>
          <w:vertAlign w:val="superscript"/>
        </w:rPr>
        <w:footnoteRef/>
      </w:r>
      <w:r w:rsidRPr="002175BE">
        <w:rPr>
          <w:sz w:val="20"/>
          <w:szCs w:val="20"/>
        </w:rPr>
        <w:t xml:space="preserve"> There are, of course, components of this application that rely on witness recommendations, such as depreciation rates, return on equity, and amortization periods.</w:t>
      </w:r>
    </w:p>
  </w:footnote>
  <w:footnote w:id="21">
    <w:p w14:paraId="3639F898" w14:textId="77777777" w:rsidR="00D93CC6" w:rsidRPr="0000335E" w:rsidRDefault="00D93CC6" w:rsidP="00D93CC6">
      <w:pPr>
        <w:pStyle w:val="FootnoteText"/>
      </w:pPr>
      <w:r>
        <w:rPr>
          <w:rStyle w:val="FootnoteReference"/>
        </w:rPr>
        <w:footnoteRef/>
      </w:r>
      <w:r>
        <w:t xml:space="preserve"> </w:t>
      </w:r>
      <w:r>
        <w:rPr>
          <w:i/>
          <w:iCs/>
        </w:rPr>
        <w:t>Application of CenterPoint Energy Houston Electric, LLC for Authority to Change Rates</w:t>
      </w:r>
      <w:r>
        <w:t>, Docket No. 49421, Direct Testimony of J. Ordonez at 35:20-36:12 (June 12, 2019).</w:t>
      </w:r>
    </w:p>
  </w:footnote>
  <w:footnote w:id="22">
    <w:p w14:paraId="6902AE57" w14:textId="77777777" w:rsidR="00D93CC6" w:rsidRDefault="00D93CC6" w:rsidP="00D93CC6">
      <w:pPr>
        <w:pStyle w:val="FootnoteText"/>
      </w:pPr>
      <w:r>
        <w:rPr>
          <w:rStyle w:val="FootnoteReference"/>
        </w:rPr>
        <w:footnoteRef/>
      </w:r>
      <w:r>
        <w:t xml:space="preserve"> Docket No. 22344, Order No. 42 at 8-9 (Dec. 18, 2000).</w:t>
      </w:r>
    </w:p>
  </w:footnote>
  <w:footnote w:id="23">
    <w:p w14:paraId="26E7389E" w14:textId="77777777" w:rsidR="00D93CC6" w:rsidRDefault="00D93CC6" w:rsidP="00D93CC6">
      <w:pPr>
        <w:pStyle w:val="FootnoteText"/>
      </w:pPr>
      <w:r w:rsidRPr="64D8CFC5">
        <w:rPr>
          <w:rStyle w:val="FootnoteReference"/>
        </w:rPr>
        <w:footnoteRef/>
      </w:r>
      <w:r>
        <w:t xml:space="preserve"> </w:t>
      </w:r>
      <w:r w:rsidRPr="64D8CFC5">
        <w:rPr>
          <w:i/>
          <w:iCs/>
        </w:rPr>
        <w:t>Application of Houston Lighting and Power for Authority to Change Rates</w:t>
      </w:r>
      <w:r>
        <w:t>, Docket Nos. 8425 and 8431, Examiners’ Report and Final Order, at 347 (May 2, 1990).</w:t>
      </w:r>
    </w:p>
  </w:footnote>
  <w:footnote w:id="24">
    <w:p w14:paraId="0F73C64A" w14:textId="77777777" w:rsidR="00D93CC6" w:rsidRDefault="00D93CC6" w:rsidP="00D93CC6">
      <w:pPr>
        <w:pStyle w:val="FootnoteText"/>
        <w:rPr>
          <w:i/>
          <w:iCs/>
        </w:rPr>
      </w:pPr>
      <w:r w:rsidRPr="64D8CFC5">
        <w:rPr>
          <w:rStyle w:val="FootnoteReference"/>
        </w:rPr>
        <w:footnoteRef/>
      </w:r>
      <w:r>
        <w:t xml:space="preserve"> </w:t>
      </w:r>
      <w:r w:rsidRPr="64D8CFC5">
        <w:rPr>
          <w:i/>
          <w:iCs/>
        </w:rPr>
        <w:t>Application of Houston Lighting and Power for Authority to Change Rates,</w:t>
      </w:r>
      <w:r>
        <w:t xml:space="preserve"> Docket No. 9850, Final Order (Oct. 23, 1991) (see Exhibit JMR-5).</w:t>
      </w:r>
    </w:p>
  </w:footnote>
  <w:footnote w:id="25">
    <w:p w14:paraId="678AC3E5" w14:textId="77777777" w:rsidR="00D93CC6" w:rsidRDefault="00D93CC6" w:rsidP="00D93CC6">
      <w:pPr>
        <w:pStyle w:val="FootnoteText"/>
      </w:pPr>
      <w:r w:rsidRPr="64D8CFC5">
        <w:rPr>
          <w:rStyle w:val="FootnoteReference"/>
        </w:rPr>
        <w:footnoteRef/>
      </w:r>
      <w:r>
        <w:t xml:space="preserve"> </w:t>
      </w:r>
      <w:r w:rsidRPr="64D8CFC5">
        <w:rPr>
          <w:i/>
          <w:iCs/>
        </w:rPr>
        <w:t xml:space="preserve">Generic Issues Associated with Applications for Approval of Unbundled Cost of Service Rate Pursuant to PURA § 39.201 and Public Utility Commission Substantive Rule § 25.344, </w:t>
      </w:r>
      <w:r>
        <w:t>Docket No. 22344, Order No. 42: Interim Order Establishing Return on Equity and Capital Structure (Dec. 22, 2000).</w:t>
      </w:r>
    </w:p>
  </w:footnote>
  <w:footnote w:id="26">
    <w:p w14:paraId="518A1F2D" w14:textId="77777777" w:rsidR="00D93CC6" w:rsidRDefault="00D93CC6" w:rsidP="00D93CC6">
      <w:pPr>
        <w:pStyle w:val="FootnoteText"/>
        <w:rPr>
          <w:i/>
          <w:iCs/>
        </w:rPr>
      </w:pPr>
      <w:r w:rsidRPr="64D8CFC5">
        <w:rPr>
          <w:rStyle w:val="FootnoteReference"/>
        </w:rPr>
        <w:footnoteRef/>
      </w:r>
      <w:r>
        <w:t xml:space="preserve"> </w:t>
      </w:r>
      <w:r w:rsidRPr="64D8CFC5">
        <w:rPr>
          <w:i/>
          <w:iCs/>
        </w:rPr>
        <w:t>Id.</w:t>
      </w:r>
      <w:r>
        <w:t xml:space="preserve"> at 10 (“The Commission, however, provides for an upward adjustment to the ROE of 0.5% to account for . . . potential rating uncertainty due to higher debt, based on the adoption of 60% debt and 40% equity for capital structure in this proceeding . . . .”) </w:t>
      </w:r>
      <w:r w:rsidRPr="64D8CFC5">
        <w:rPr>
          <w:i/>
          <w:iCs/>
        </w:rPr>
        <w:t xml:space="preserve"> </w:t>
      </w:r>
    </w:p>
  </w:footnote>
  <w:footnote w:id="27">
    <w:p w14:paraId="3ADAEC45" w14:textId="77777777" w:rsidR="00D93CC6" w:rsidRDefault="00D93CC6" w:rsidP="00D93CC6">
      <w:pPr>
        <w:pStyle w:val="FootnoteText"/>
      </w:pPr>
      <w:r w:rsidRPr="64D8CFC5">
        <w:rPr>
          <w:rStyle w:val="FootnoteReference"/>
        </w:rPr>
        <w:footnoteRef/>
      </w:r>
      <w:r>
        <w:t xml:space="preserve"> </w:t>
      </w:r>
      <w:r w:rsidRPr="64D8CFC5">
        <w:rPr>
          <w:i/>
          <w:iCs/>
        </w:rPr>
        <w:t>Id.</w:t>
      </w:r>
    </w:p>
  </w:footnote>
  <w:footnote w:id="28">
    <w:p w14:paraId="7BA6F49F" w14:textId="77777777" w:rsidR="00D93CC6" w:rsidRDefault="00D93CC6" w:rsidP="00D93CC6">
      <w:pPr>
        <w:pStyle w:val="FootnoteText"/>
      </w:pPr>
      <w:r w:rsidRPr="64D8CFC5">
        <w:rPr>
          <w:rStyle w:val="FootnoteReference"/>
        </w:rPr>
        <w:footnoteRef/>
      </w:r>
      <w:r>
        <w:t xml:space="preserve"> </w:t>
      </w:r>
      <w:r w:rsidRPr="64D8CFC5">
        <w:rPr>
          <w:i/>
          <w:iCs/>
        </w:rPr>
        <w:t>Id</w:t>
      </w:r>
      <w:r>
        <w:t>. at 9.</w:t>
      </w:r>
    </w:p>
  </w:footnote>
  <w:footnote w:id="29">
    <w:p w14:paraId="4F0364A2" w14:textId="77777777" w:rsidR="00D93CC6" w:rsidRDefault="00D93CC6" w:rsidP="00D93CC6">
      <w:pPr>
        <w:pStyle w:val="FootnoteText"/>
      </w:pPr>
      <w:r w:rsidRPr="64D8CFC5">
        <w:rPr>
          <w:rStyle w:val="FootnoteReference"/>
        </w:rPr>
        <w:footnoteRef/>
      </w:r>
      <w:r>
        <w:t xml:space="preserve"> </w:t>
      </w:r>
      <w:r w:rsidRPr="64D8CFC5">
        <w:rPr>
          <w:i/>
          <w:iCs/>
        </w:rPr>
        <w:t>Application of CenterPoint Electric Delivery Company, LLC for Authority to Change Rates</w:t>
      </w:r>
      <w:r>
        <w:t>, Docket No. 38339, Order on Rehearing at 21 (Findings of Fact No. 67-69) (June 23, 2011).</w:t>
      </w:r>
    </w:p>
  </w:footnote>
  <w:footnote w:id="30">
    <w:p w14:paraId="4B901C75" w14:textId="1FD5B54F" w:rsidR="00F977CF" w:rsidRPr="00AE7B63" w:rsidRDefault="00F977CF">
      <w:pPr>
        <w:pStyle w:val="FootnoteText"/>
      </w:pPr>
      <w:r>
        <w:rPr>
          <w:rStyle w:val="FootnoteReference"/>
        </w:rPr>
        <w:footnoteRef/>
      </w:r>
      <w:r>
        <w:t xml:space="preserve"> </w:t>
      </w:r>
      <w:r w:rsidR="00683E4C">
        <w:t xml:space="preserve">Railroad Commission of Texas, </w:t>
      </w:r>
      <w:r w:rsidR="00683E4C">
        <w:rPr>
          <w:i/>
          <w:iCs/>
        </w:rPr>
        <w:t>Statement of Intent of Texas Gas Service Company</w:t>
      </w:r>
      <w:r w:rsidR="000D59AB">
        <w:rPr>
          <w:i/>
          <w:iCs/>
        </w:rPr>
        <w:t>, a Division of ONE Gas, Inc., to Change Gas Utility Rates</w:t>
      </w:r>
      <w:r w:rsidR="00AE7B63">
        <w:t xml:space="preserve">, </w:t>
      </w:r>
      <w:r w:rsidR="00FD1534">
        <w:t>OS-22-00009896</w:t>
      </w:r>
      <w:r w:rsidR="00B6643D">
        <w:t>,</w:t>
      </w:r>
      <w:r w:rsidR="006D1A09">
        <w:t xml:space="preserve"> consolidated, </w:t>
      </w:r>
      <w:r w:rsidR="00993858">
        <w:t>Amended Proposal for Decision</w:t>
      </w:r>
      <w:r w:rsidR="00856832">
        <w:t xml:space="preserve"> at ii</w:t>
      </w:r>
      <w:r w:rsidR="00993858">
        <w:t xml:space="preserve"> (</w:t>
      </w:r>
      <w:r w:rsidR="0042621A">
        <w:t>Jan</w:t>
      </w:r>
      <w:r w:rsidR="008B3EE7">
        <w:t>.</w:t>
      </w:r>
      <w:r w:rsidR="0042621A">
        <w:t xml:space="preserve"> 11, 2023).</w:t>
      </w:r>
    </w:p>
  </w:footnote>
  <w:footnote w:id="31">
    <w:p w14:paraId="27C353B4" w14:textId="2F263B09" w:rsidR="00F429A1" w:rsidRPr="00F429A1" w:rsidRDefault="00F429A1">
      <w:pPr>
        <w:pStyle w:val="FootnoteText"/>
      </w:pPr>
      <w:r>
        <w:rPr>
          <w:rStyle w:val="FootnoteReference"/>
        </w:rPr>
        <w:footnoteRef/>
      </w:r>
      <w:r>
        <w:t xml:space="preserve"> </w:t>
      </w:r>
      <w:r>
        <w:rPr>
          <w:i/>
          <w:iCs/>
        </w:rPr>
        <w:t>Id</w:t>
      </w:r>
      <w:r>
        <w:t>. at 22.</w:t>
      </w:r>
    </w:p>
  </w:footnote>
  <w:footnote w:id="32">
    <w:p w14:paraId="6A8F52AF" w14:textId="45CFDF86" w:rsidR="00BD30C2" w:rsidRDefault="00BD30C2">
      <w:pPr>
        <w:pStyle w:val="FootnoteText"/>
      </w:pPr>
      <w:r>
        <w:rPr>
          <w:rStyle w:val="FootnoteReference"/>
        </w:rPr>
        <w:footnoteRef/>
      </w:r>
      <w:r>
        <w:t xml:space="preserve"> </w:t>
      </w:r>
      <w:r w:rsidR="00C9150C">
        <w:rPr>
          <w:i/>
          <w:iCs/>
        </w:rPr>
        <w:t>Id</w:t>
      </w:r>
      <w:r w:rsidR="00C9150C">
        <w:t xml:space="preserve">., </w:t>
      </w:r>
      <w:r w:rsidR="003705BE">
        <w:t>Order at</w:t>
      </w:r>
      <w:r w:rsidR="00A83FC3">
        <w:t xml:space="preserve"> </w:t>
      </w:r>
      <w:r w:rsidR="00D97362">
        <w:t>5 (Findings of Fact No. 58, 59, 60, and 63</w:t>
      </w:r>
      <w:r w:rsidR="00BB78EF">
        <w:t>)</w:t>
      </w:r>
      <w:r w:rsidR="00F80568">
        <w:t xml:space="preserve"> (</w:t>
      </w:r>
      <w:r w:rsidR="008B3EE7">
        <w:t>Jan. 18, 2023).</w:t>
      </w:r>
    </w:p>
  </w:footnote>
  <w:footnote w:id="33">
    <w:p w14:paraId="5FEE45CF" w14:textId="5A7D9873" w:rsidR="008F0668" w:rsidRDefault="008F0668" w:rsidP="008F0668">
      <w:pPr>
        <w:pStyle w:val="FootnoteText"/>
      </w:pPr>
      <w:r>
        <w:rPr>
          <w:rStyle w:val="FootnoteReference"/>
        </w:rPr>
        <w:footnoteRef/>
      </w:r>
      <w:r>
        <w:t xml:space="preserve"> </w:t>
      </w:r>
      <w:r w:rsidR="00CF25A7">
        <w:t>Docket No. 22344, Order No. 42</w:t>
      </w:r>
      <w:r>
        <w:rPr>
          <w:i/>
          <w:iCs/>
        </w:rPr>
        <w:t xml:space="preserve"> </w:t>
      </w:r>
      <w:r>
        <w:t>at 9-10.</w:t>
      </w:r>
    </w:p>
  </w:footnote>
  <w:footnote w:id="34">
    <w:p w14:paraId="52F8F342" w14:textId="7202879C" w:rsidR="008F0668" w:rsidRDefault="008F0668" w:rsidP="008F0668">
      <w:pPr>
        <w:pStyle w:val="FootnoteText"/>
      </w:pPr>
      <w:r>
        <w:rPr>
          <w:rStyle w:val="FootnoteReference"/>
        </w:rPr>
        <w:footnoteRef/>
      </w:r>
      <w:r>
        <w:t xml:space="preserve"> Open Meeting, Transcript at 217:</w:t>
      </w:r>
      <w:r w:rsidR="00BC1CCD">
        <w:t>20-</w:t>
      </w:r>
      <w:r>
        <w:t>218:1 (Mar. 9, 2023).</w:t>
      </w:r>
    </w:p>
  </w:footnote>
  <w:footnote w:id="35">
    <w:p w14:paraId="33991BBF" w14:textId="77C0D9E7" w:rsidR="008F0668" w:rsidRDefault="008F0668" w:rsidP="008F0668">
      <w:pPr>
        <w:pStyle w:val="FootnoteText"/>
      </w:pPr>
      <w:r>
        <w:rPr>
          <w:rStyle w:val="FootnoteReference"/>
        </w:rPr>
        <w:footnoteRef/>
      </w:r>
      <w:r>
        <w:t xml:space="preserve"> </w:t>
      </w:r>
      <w:r>
        <w:rPr>
          <w:i/>
          <w:iCs/>
        </w:rPr>
        <w:t>Id</w:t>
      </w:r>
      <w:r>
        <w:t>. at 221:</w:t>
      </w:r>
      <w:r w:rsidR="00C60B2B">
        <w:t>15-18 and 20-21</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E1989" w14:textId="77777777" w:rsidR="00A33879" w:rsidRDefault="00A33879" w:rsidP="0068060C">
    <w:pPr>
      <w:pStyle w:val="Header"/>
    </w:pPr>
  </w:p>
  <w:p w14:paraId="7FE49884" w14:textId="77777777" w:rsidR="001D1D64" w:rsidRDefault="001D1D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F1C3" w14:textId="419CD94F" w:rsidR="008552B9" w:rsidRDefault="008552B9" w:rsidP="008552B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AF4E" w14:textId="1ADE85EA" w:rsidR="008552B9" w:rsidRDefault="008552B9" w:rsidP="008552B9">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44" w14:textId="4DF5B6BB" w:rsidR="008552B9" w:rsidRDefault="008552B9" w:rsidP="008552B9">
    <w:pPr>
      <w:pStyle w:val="Header"/>
      <w:jc w:val="right"/>
    </w:pPr>
    <w:r>
      <w:t>ES-</w:t>
    </w:r>
    <w:r>
      <w:fldChar w:fldCharType="begin"/>
    </w:r>
    <w:r>
      <w:instrText xml:space="preserve"> PAGE   \* MERGEFORMAT </w:instrText>
    </w:r>
    <w:r>
      <w:fldChar w:fldCharType="separate"/>
    </w:r>
    <w:r>
      <w:rPr>
        <w:noProof/>
      </w:rPr>
      <w:t>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41839" w14:textId="77777777" w:rsidR="00194051" w:rsidRPr="00194051" w:rsidRDefault="00194051" w:rsidP="00194051">
    <w:pPr>
      <w:pStyle w:val="Header"/>
      <w:jc w:val="right"/>
      <w:rPr>
        <w:sz w:val="20"/>
        <w:szCs w:val="20"/>
      </w:rPr>
    </w:pPr>
    <w:r w:rsidRPr="00194051">
      <w:rPr>
        <w:sz w:val="20"/>
        <w:szCs w:val="20"/>
      </w:rPr>
      <w:t>ES-</w:t>
    </w:r>
    <w:r w:rsidRPr="00194051">
      <w:rPr>
        <w:sz w:val="20"/>
        <w:szCs w:val="20"/>
      </w:rPr>
      <w:fldChar w:fldCharType="begin"/>
    </w:r>
    <w:r w:rsidRPr="00194051">
      <w:rPr>
        <w:sz w:val="20"/>
        <w:szCs w:val="20"/>
      </w:rPr>
      <w:instrText xml:space="preserve"> PAGE   \* MERGEFORMAT </w:instrText>
    </w:r>
    <w:r w:rsidRPr="00194051">
      <w:rPr>
        <w:sz w:val="20"/>
        <w:szCs w:val="20"/>
      </w:rPr>
      <w:fldChar w:fldCharType="separate"/>
    </w:r>
    <w:r w:rsidRPr="00194051">
      <w:rPr>
        <w:noProof/>
        <w:sz w:val="20"/>
        <w:szCs w:val="20"/>
      </w:rPr>
      <w:t>1</w:t>
    </w:r>
    <w:r w:rsidRPr="00194051">
      <w:rPr>
        <w:noProof/>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8151" w14:textId="39801E2F" w:rsidR="00194051" w:rsidRPr="00194051" w:rsidRDefault="00194051" w:rsidP="00194051">
    <w:pPr>
      <w:pStyle w:val="Header"/>
      <w:jc w:val="right"/>
      <w:rPr>
        <w:sz w:val="20"/>
        <w:szCs w:val="20"/>
      </w:rPr>
    </w:pPr>
    <w:r>
      <w:rPr>
        <w:sz w:val="20"/>
        <w:szCs w:val="20"/>
      </w:rPr>
      <w:t xml:space="preserve">Page </w:t>
    </w:r>
    <w:r w:rsidRPr="00194051">
      <w:rPr>
        <w:sz w:val="20"/>
        <w:szCs w:val="20"/>
      </w:rPr>
      <w:fldChar w:fldCharType="begin"/>
    </w:r>
    <w:r w:rsidRPr="00194051">
      <w:rPr>
        <w:sz w:val="20"/>
        <w:szCs w:val="20"/>
      </w:rPr>
      <w:instrText xml:space="preserve"> PAGE   \* MERGEFORMAT </w:instrText>
    </w:r>
    <w:r w:rsidRPr="00194051">
      <w:rPr>
        <w:sz w:val="20"/>
        <w:szCs w:val="20"/>
      </w:rPr>
      <w:fldChar w:fldCharType="separate"/>
    </w:r>
    <w:r w:rsidRPr="00194051">
      <w:rPr>
        <w:noProof/>
        <w:sz w:val="20"/>
        <w:szCs w:val="20"/>
      </w:rPr>
      <w:t>1</w:t>
    </w:r>
    <w:r w:rsidRPr="00194051">
      <w:rPr>
        <w:noProof/>
        <w:sz w:val="20"/>
        <w:szCs w:val="20"/>
      </w:rPr>
      <w:fldChar w:fldCharType="end"/>
    </w:r>
    <w:r>
      <w:rPr>
        <w:noProof/>
        <w:sz w:val="20"/>
        <w:szCs w:val="20"/>
      </w:rPr>
      <w:t xml:space="preserve"> of </w:t>
    </w:r>
    <w:r>
      <w:rPr>
        <w:noProof/>
        <w:sz w:val="20"/>
        <w:szCs w:val="20"/>
      </w:rPr>
      <w:fldChar w:fldCharType="begin"/>
    </w:r>
    <w:r>
      <w:rPr>
        <w:noProof/>
        <w:sz w:val="20"/>
        <w:szCs w:val="20"/>
      </w:rPr>
      <w:instrText xml:space="preserve"> SECTIONPAGES </w:instrText>
    </w:r>
    <w:r>
      <w:rPr>
        <w:noProof/>
        <w:sz w:val="20"/>
        <w:szCs w:val="20"/>
      </w:rPr>
      <w:fldChar w:fldCharType="separate"/>
    </w:r>
    <w:r w:rsidR="00C72B1C">
      <w:rPr>
        <w:noProof/>
        <w:sz w:val="20"/>
        <w:szCs w:val="20"/>
      </w:rPr>
      <w:t>41</w:t>
    </w:r>
    <w:r>
      <w:rPr>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73781"/>
    <w:multiLevelType w:val="hybridMultilevel"/>
    <w:tmpl w:val="FFFFFFFF"/>
    <w:lvl w:ilvl="0" w:tplc="C898EFDA">
      <w:start w:val="1"/>
      <w:numFmt w:val="bullet"/>
      <w:lvlText w:val=""/>
      <w:lvlJc w:val="left"/>
      <w:pPr>
        <w:ind w:left="720" w:hanging="360"/>
      </w:pPr>
      <w:rPr>
        <w:rFonts w:ascii="Symbol" w:hAnsi="Symbol" w:hint="default"/>
      </w:rPr>
    </w:lvl>
    <w:lvl w:ilvl="1" w:tplc="2EC22D94">
      <w:start w:val="1"/>
      <w:numFmt w:val="bullet"/>
      <w:lvlText w:val="o"/>
      <w:lvlJc w:val="left"/>
      <w:pPr>
        <w:ind w:left="1440" w:hanging="360"/>
      </w:pPr>
      <w:rPr>
        <w:rFonts w:ascii="Courier New" w:hAnsi="Courier New" w:hint="default"/>
      </w:rPr>
    </w:lvl>
    <w:lvl w:ilvl="2" w:tplc="060C73E0">
      <w:start w:val="1"/>
      <w:numFmt w:val="bullet"/>
      <w:lvlText w:val=""/>
      <w:lvlJc w:val="left"/>
      <w:pPr>
        <w:ind w:left="2160" w:hanging="360"/>
      </w:pPr>
      <w:rPr>
        <w:rFonts w:ascii="Wingdings" w:hAnsi="Wingdings" w:hint="default"/>
      </w:rPr>
    </w:lvl>
    <w:lvl w:ilvl="3" w:tplc="CDA0E8CC">
      <w:start w:val="1"/>
      <w:numFmt w:val="bullet"/>
      <w:lvlText w:val=""/>
      <w:lvlJc w:val="left"/>
      <w:pPr>
        <w:ind w:left="2880" w:hanging="360"/>
      </w:pPr>
      <w:rPr>
        <w:rFonts w:ascii="Symbol" w:hAnsi="Symbol" w:hint="default"/>
      </w:rPr>
    </w:lvl>
    <w:lvl w:ilvl="4" w:tplc="575CF79A">
      <w:start w:val="1"/>
      <w:numFmt w:val="bullet"/>
      <w:lvlText w:val="o"/>
      <w:lvlJc w:val="left"/>
      <w:pPr>
        <w:ind w:left="3600" w:hanging="360"/>
      </w:pPr>
      <w:rPr>
        <w:rFonts w:ascii="Courier New" w:hAnsi="Courier New" w:hint="default"/>
      </w:rPr>
    </w:lvl>
    <w:lvl w:ilvl="5" w:tplc="8216E5A8">
      <w:start w:val="1"/>
      <w:numFmt w:val="bullet"/>
      <w:lvlText w:val=""/>
      <w:lvlJc w:val="left"/>
      <w:pPr>
        <w:ind w:left="4320" w:hanging="360"/>
      </w:pPr>
      <w:rPr>
        <w:rFonts w:ascii="Wingdings" w:hAnsi="Wingdings" w:hint="default"/>
      </w:rPr>
    </w:lvl>
    <w:lvl w:ilvl="6" w:tplc="E0ACD704">
      <w:start w:val="1"/>
      <w:numFmt w:val="bullet"/>
      <w:lvlText w:val=""/>
      <w:lvlJc w:val="left"/>
      <w:pPr>
        <w:ind w:left="5040" w:hanging="360"/>
      </w:pPr>
      <w:rPr>
        <w:rFonts w:ascii="Symbol" w:hAnsi="Symbol" w:hint="default"/>
      </w:rPr>
    </w:lvl>
    <w:lvl w:ilvl="7" w:tplc="303A7B78">
      <w:start w:val="1"/>
      <w:numFmt w:val="bullet"/>
      <w:lvlText w:val="o"/>
      <w:lvlJc w:val="left"/>
      <w:pPr>
        <w:ind w:left="5760" w:hanging="360"/>
      </w:pPr>
      <w:rPr>
        <w:rFonts w:ascii="Courier New" w:hAnsi="Courier New" w:hint="default"/>
      </w:rPr>
    </w:lvl>
    <w:lvl w:ilvl="8" w:tplc="49D26EBE">
      <w:start w:val="1"/>
      <w:numFmt w:val="bullet"/>
      <w:lvlText w:val=""/>
      <w:lvlJc w:val="left"/>
      <w:pPr>
        <w:ind w:left="6480" w:hanging="360"/>
      </w:pPr>
      <w:rPr>
        <w:rFonts w:ascii="Wingdings" w:hAnsi="Wingdings" w:hint="default"/>
      </w:rPr>
    </w:lvl>
  </w:abstractNum>
  <w:abstractNum w:abstractNumId="1" w15:restartNumberingAfterBreak="0">
    <w:nsid w:val="14464BA6"/>
    <w:multiLevelType w:val="multilevel"/>
    <w:tmpl w:val="FFFFFFFF"/>
    <w:lvl w:ilvl="0">
      <w:start w:val="1"/>
      <w:numFmt w:val="decimal"/>
      <w:lvlText w:val="%1."/>
      <w:lvlJc w:val="left"/>
      <w:pPr>
        <w:ind w:left="720" w:hanging="360"/>
      </w:pPr>
    </w:lvl>
    <w:lvl w:ilvl="1">
      <w:start w:val="1"/>
      <w:numFmt w:val="upperRoman"/>
      <w:lvlText w:val="%1."/>
      <w:lvlJc w:val="left"/>
      <w:pPr>
        <w:ind w:left="387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E10427"/>
    <w:multiLevelType w:val="multilevel"/>
    <w:tmpl w:val="4D066FBC"/>
    <w:lvl w:ilvl="0">
      <w:start w:val="1"/>
      <w:numFmt w:val="upperRoman"/>
      <w:lvlText w:val="%1."/>
      <w:lvlJc w:val="left"/>
      <w:pPr>
        <w:tabs>
          <w:tab w:val="num" w:pos="3870"/>
        </w:tabs>
        <w:ind w:left="3870" w:hanging="720"/>
      </w:pPr>
    </w:lvl>
    <w:lvl w:ilvl="1">
      <w:start w:val="1"/>
      <w:numFmt w:val="upperLetter"/>
      <w:pStyle w:val="PCROutline2"/>
      <w:lvlText w:val="%2."/>
      <w:lvlJc w:val="left"/>
      <w:pPr>
        <w:tabs>
          <w:tab w:val="num" w:pos="720"/>
        </w:tabs>
        <w:ind w:left="1440" w:hanging="720"/>
      </w:pPr>
      <w:rPr>
        <w:rFonts w:hint="default"/>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3" w15:restartNumberingAfterBreak="0">
    <w:nsid w:val="43C75CCA"/>
    <w:multiLevelType w:val="multilevel"/>
    <w:tmpl w:val="F16C4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FB116B"/>
    <w:multiLevelType w:val="hybridMultilevel"/>
    <w:tmpl w:val="144056C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615A05"/>
    <w:multiLevelType w:val="singleLevel"/>
    <w:tmpl w:val="8DAC9212"/>
    <w:lvl w:ilvl="0">
      <w:start w:val="1"/>
      <w:numFmt w:val="upperLetter"/>
      <w:lvlText w:val="%1."/>
      <w:lvlJc w:val="left"/>
      <w:pPr>
        <w:tabs>
          <w:tab w:val="num" w:pos="900"/>
        </w:tabs>
        <w:ind w:left="900" w:hanging="900"/>
      </w:pPr>
      <w:rPr>
        <w:rFonts w:hint="default"/>
      </w:rPr>
    </w:lvl>
  </w:abstractNum>
  <w:abstractNum w:abstractNumId="6" w15:restartNumberingAfterBreak="0">
    <w:nsid w:val="5ECAB1CD"/>
    <w:multiLevelType w:val="hybridMultilevel"/>
    <w:tmpl w:val="AD702A16"/>
    <w:lvl w:ilvl="0" w:tplc="00EA8914">
      <w:start w:val="1"/>
      <w:numFmt w:val="upperLetter"/>
      <w:lvlText w:val="%1."/>
      <w:lvlJc w:val="left"/>
      <w:pPr>
        <w:ind w:left="720" w:hanging="360"/>
      </w:pPr>
      <w:rPr>
        <w:color w:val="000000" w:themeColor="text1"/>
      </w:rPr>
    </w:lvl>
    <w:lvl w:ilvl="1" w:tplc="7108BECC">
      <w:start w:val="1"/>
      <w:numFmt w:val="lowerLetter"/>
      <w:lvlText w:val="%2."/>
      <w:lvlJc w:val="left"/>
      <w:pPr>
        <w:ind w:left="1440" w:hanging="360"/>
      </w:pPr>
    </w:lvl>
    <w:lvl w:ilvl="2" w:tplc="3F3C6176">
      <w:start w:val="1"/>
      <w:numFmt w:val="lowerRoman"/>
      <w:lvlText w:val="%3."/>
      <w:lvlJc w:val="right"/>
      <w:pPr>
        <w:ind w:left="2160" w:hanging="180"/>
      </w:pPr>
    </w:lvl>
    <w:lvl w:ilvl="3" w:tplc="4EF2F2AA">
      <w:start w:val="1"/>
      <w:numFmt w:val="decimal"/>
      <w:lvlText w:val="%4."/>
      <w:lvlJc w:val="left"/>
      <w:pPr>
        <w:ind w:left="2880" w:hanging="360"/>
      </w:pPr>
    </w:lvl>
    <w:lvl w:ilvl="4" w:tplc="18B2BED8">
      <w:start w:val="1"/>
      <w:numFmt w:val="lowerLetter"/>
      <w:lvlText w:val="%5."/>
      <w:lvlJc w:val="left"/>
      <w:pPr>
        <w:ind w:left="3600" w:hanging="360"/>
      </w:pPr>
    </w:lvl>
    <w:lvl w:ilvl="5" w:tplc="056C6182">
      <w:start w:val="1"/>
      <w:numFmt w:val="lowerRoman"/>
      <w:lvlText w:val="%6."/>
      <w:lvlJc w:val="right"/>
      <w:pPr>
        <w:ind w:left="4320" w:hanging="180"/>
      </w:pPr>
    </w:lvl>
    <w:lvl w:ilvl="6" w:tplc="2DE659B6">
      <w:start w:val="1"/>
      <w:numFmt w:val="decimal"/>
      <w:lvlText w:val="%7."/>
      <w:lvlJc w:val="left"/>
      <w:pPr>
        <w:ind w:left="5040" w:hanging="360"/>
      </w:pPr>
    </w:lvl>
    <w:lvl w:ilvl="7" w:tplc="0D7A5070">
      <w:start w:val="1"/>
      <w:numFmt w:val="lowerLetter"/>
      <w:lvlText w:val="%8."/>
      <w:lvlJc w:val="left"/>
      <w:pPr>
        <w:ind w:left="5760" w:hanging="360"/>
      </w:pPr>
    </w:lvl>
    <w:lvl w:ilvl="8" w:tplc="445A9858">
      <w:start w:val="1"/>
      <w:numFmt w:val="lowerRoman"/>
      <w:lvlText w:val="%9."/>
      <w:lvlJc w:val="right"/>
      <w:pPr>
        <w:ind w:left="6480" w:hanging="180"/>
      </w:pPr>
    </w:lvl>
  </w:abstractNum>
  <w:abstractNum w:abstractNumId="7" w15:restartNumberingAfterBreak="0">
    <w:nsid w:val="7CA50F1F"/>
    <w:multiLevelType w:val="hybridMultilevel"/>
    <w:tmpl w:val="727A43F2"/>
    <w:lvl w:ilvl="0" w:tplc="20081A9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073965422">
    <w:abstractNumId w:val="1"/>
  </w:num>
  <w:num w:numId="2" w16cid:durableId="1446580300">
    <w:abstractNumId w:val="2"/>
  </w:num>
  <w:num w:numId="3" w16cid:durableId="155077880">
    <w:abstractNumId w:val="5"/>
    <w:lvlOverride w:ilvl="0">
      <w:startOverride w:val="1"/>
    </w:lvlOverride>
  </w:num>
  <w:num w:numId="4" w16cid:durableId="91828644">
    <w:abstractNumId w:val="7"/>
  </w:num>
  <w:num w:numId="5" w16cid:durableId="1468933707">
    <w:abstractNumId w:val="3"/>
  </w:num>
  <w:num w:numId="6" w16cid:durableId="2022929148">
    <w:abstractNumId w:val="6"/>
  </w:num>
  <w:num w:numId="7" w16cid:durableId="70205684">
    <w:abstractNumId w:val="0"/>
  </w:num>
  <w:num w:numId="8" w16cid:durableId="42303635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7B6"/>
    <w:rsid w:val="000002B6"/>
    <w:rsid w:val="00000B2A"/>
    <w:rsid w:val="00000EC4"/>
    <w:rsid w:val="00000EDE"/>
    <w:rsid w:val="000011BF"/>
    <w:rsid w:val="000012B1"/>
    <w:rsid w:val="00001744"/>
    <w:rsid w:val="000018F0"/>
    <w:rsid w:val="00001D81"/>
    <w:rsid w:val="00002048"/>
    <w:rsid w:val="00002054"/>
    <w:rsid w:val="000023F4"/>
    <w:rsid w:val="00002485"/>
    <w:rsid w:val="00002811"/>
    <w:rsid w:val="0000286C"/>
    <w:rsid w:val="00002BA8"/>
    <w:rsid w:val="00003323"/>
    <w:rsid w:val="0000335E"/>
    <w:rsid w:val="000037EC"/>
    <w:rsid w:val="000039FB"/>
    <w:rsid w:val="00003E58"/>
    <w:rsid w:val="00003E65"/>
    <w:rsid w:val="00004266"/>
    <w:rsid w:val="00004349"/>
    <w:rsid w:val="000044CE"/>
    <w:rsid w:val="000045D0"/>
    <w:rsid w:val="00004951"/>
    <w:rsid w:val="00004B05"/>
    <w:rsid w:val="0000506B"/>
    <w:rsid w:val="00005290"/>
    <w:rsid w:val="000053FB"/>
    <w:rsid w:val="0000562C"/>
    <w:rsid w:val="000059D7"/>
    <w:rsid w:val="00005AE4"/>
    <w:rsid w:val="00005C4B"/>
    <w:rsid w:val="00005EE6"/>
    <w:rsid w:val="00006508"/>
    <w:rsid w:val="00006D3A"/>
    <w:rsid w:val="0000791E"/>
    <w:rsid w:val="00007D11"/>
    <w:rsid w:val="00007E05"/>
    <w:rsid w:val="00007F78"/>
    <w:rsid w:val="0001007B"/>
    <w:rsid w:val="000106EC"/>
    <w:rsid w:val="00010974"/>
    <w:rsid w:val="00010ABF"/>
    <w:rsid w:val="00010BBE"/>
    <w:rsid w:val="00010BE3"/>
    <w:rsid w:val="00010C66"/>
    <w:rsid w:val="00010ED1"/>
    <w:rsid w:val="00010FEB"/>
    <w:rsid w:val="00011470"/>
    <w:rsid w:val="000114D3"/>
    <w:rsid w:val="000115C2"/>
    <w:rsid w:val="0001170B"/>
    <w:rsid w:val="00011B67"/>
    <w:rsid w:val="00011EAC"/>
    <w:rsid w:val="00011ECE"/>
    <w:rsid w:val="00011F39"/>
    <w:rsid w:val="00011FD6"/>
    <w:rsid w:val="00012129"/>
    <w:rsid w:val="0001235A"/>
    <w:rsid w:val="000128FA"/>
    <w:rsid w:val="00012EBA"/>
    <w:rsid w:val="000134D4"/>
    <w:rsid w:val="0001363F"/>
    <w:rsid w:val="00013795"/>
    <w:rsid w:val="000139A4"/>
    <w:rsid w:val="00014174"/>
    <w:rsid w:val="00014274"/>
    <w:rsid w:val="00014307"/>
    <w:rsid w:val="000144FE"/>
    <w:rsid w:val="00014ECC"/>
    <w:rsid w:val="0001510A"/>
    <w:rsid w:val="00015140"/>
    <w:rsid w:val="000155BF"/>
    <w:rsid w:val="00015767"/>
    <w:rsid w:val="000158BA"/>
    <w:rsid w:val="00015FC1"/>
    <w:rsid w:val="00016069"/>
    <w:rsid w:val="00016151"/>
    <w:rsid w:val="000162BC"/>
    <w:rsid w:val="000162C5"/>
    <w:rsid w:val="00016FFD"/>
    <w:rsid w:val="00017399"/>
    <w:rsid w:val="000174BC"/>
    <w:rsid w:val="00017626"/>
    <w:rsid w:val="00017673"/>
    <w:rsid w:val="000179F9"/>
    <w:rsid w:val="00017A1D"/>
    <w:rsid w:val="00017BC6"/>
    <w:rsid w:val="00017C64"/>
    <w:rsid w:val="00017DCD"/>
    <w:rsid w:val="00020295"/>
    <w:rsid w:val="00020616"/>
    <w:rsid w:val="00020B9B"/>
    <w:rsid w:val="00020CAA"/>
    <w:rsid w:val="00021385"/>
    <w:rsid w:val="000213E6"/>
    <w:rsid w:val="000214F3"/>
    <w:rsid w:val="00021CAB"/>
    <w:rsid w:val="000225D6"/>
    <w:rsid w:val="00022879"/>
    <w:rsid w:val="00022965"/>
    <w:rsid w:val="00022A46"/>
    <w:rsid w:val="00022B0F"/>
    <w:rsid w:val="00022C43"/>
    <w:rsid w:val="00022C48"/>
    <w:rsid w:val="00022C7B"/>
    <w:rsid w:val="000231E7"/>
    <w:rsid w:val="00023246"/>
    <w:rsid w:val="0002331F"/>
    <w:rsid w:val="0002359D"/>
    <w:rsid w:val="000236A3"/>
    <w:rsid w:val="0002379E"/>
    <w:rsid w:val="000237CC"/>
    <w:rsid w:val="00023930"/>
    <w:rsid w:val="00023943"/>
    <w:rsid w:val="00023C73"/>
    <w:rsid w:val="00023D42"/>
    <w:rsid w:val="000245EA"/>
    <w:rsid w:val="00024A57"/>
    <w:rsid w:val="00024A5A"/>
    <w:rsid w:val="00024BEA"/>
    <w:rsid w:val="00024E36"/>
    <w:rsid w:val="00024ED3"/>
    <w:rsid w:val="00024FCF"/>
    <w:rsid w:val="00025158"/>
    <w:rsid w:val="0002528E"/>
    <w:rsid w:val="0002553C"/>
    <w:rsid w:val="0002558B"/>
    <w:rsid w:val="00025C53"/>
    <w:rsid w:val="00025E7C"/>
    <w:rsid w:val="00026064"/>
    <w:rsid w:val="0002606D"/>
    <w:rsid w:val="0002684D"/>
    <w:rsid w:val="0002687B"/>
    <w:rsid w:val="00026B8F"/>
    <w:rsid w:val="00026CAF"/>
    <w:rsid w:val="00026E8D"/>
    <w:rsid w:val="00026EEA"/>
    <w:rsid w:val="000271AA"/>
    <w:rsid w:val="000277BE"/>
    <w:rsid w:val="00027ABA"/>
    <w:rsid w:val="00027B6B"/>
    <w:rsid w:val="00027D1C"/>
    <w:rsid w:val="00027FFB"/>
    <w:rsid w:val="0003061E"/>
    <w:rsid w:val="00030BC3"/>
    <w:rsid w:val="00031D72"/>
    <w:rsid w:val="00032171"/>
    <w:rsid w:val="0003221B"/>
    <w:rsid w:val="000326AD"/>
    <w:rsid w:val="00032C58"/>
    <w:rsid w:val="0003349E"/>
    <w:rsid w:val="00033630"/>
    <w:rsid w:val="000336D6"/>
    <w:rsid w:val="00033E32"/>
    <w:rsid w:val="0003435F"/>
    <w:rsid w:val="000345DF"/>
    <w:rsid w:val="000347B1"/>
    <w:rsid w:val="00034B90"/>
    <w:rsid w:val="00034BC5"/>
    <w:rsid w:val="00034CF6"/>
    <w:rsid w:val="00034E02"/>
    <w:rsid w:val="00034F1D"/>
    <w:rsid w:val="00035283"/>
    <w:rsid w:val="000354A1"/>
    <w:rsid w:val="000355E0"/>
    <w:rsid w:val="00035B86"/>
    <w:rsid w:val="00035C5A"/>
    <w:rsid w:val="00036026"/>
    <w:rsid w:val="000361D1"/>
    <w:rsid w:val="000363B0"/>
    <w:rsid w:val="00036869"/>
    <w:rsid w:val="00036881"/>
    <w:rsid w:val="00036AF4"/>
    <w:rsid w:val="00036B3E"/>
    <w:rsid w:val="00036F80"/>
    <w:rsid w:val="00037192"/>
    <w:rsid w:val="00039235"/>
    <w:rsid w:val="000401B3"/>
    <w:rsid w:val="0004022A"/>
    <w:rsid w:val="000402BF"/>
    <w:rsid w:val="000402ED"/>
    <w:rsid w:val="0004053D"/>
    <w:rsid w:val="00040CE4"/>
    <w:rsid w:val="00040F80"/>
    <w:rsid w:val="00040FD0"/>
    <w:rsid w:val="00041460"/>
    <w:rsid w:val="00041587"/>
    <w:rsid w:val="0004172E"/>
    <w:rsid w:val="00041812"/>
    <w:rsid w:val="00041922"/>
    <w:rsid w:val="0004193A"/>
    <w:rsid w:val="00041AA1"/>
    <w:rsid w:val="00041C68"/>
    <w:rsid w:val="00041F11"/>
    <w:rsid w:val="000422D9"/>
    <w:rsid w:val="00042420"/>
    <w:rsid w:val="00042889"/>
    <w:rsid w:val="00042983"/>
    <w:rsid w:val="00042D10"/>
    <w:rsid w:val="00042D12"/>
    <w:rsid w:val="00043092"/>
    <w:rsid w:val="00043511"/>
    <w:rsid w:val="00043545"/>
    <w:rsid w:val="0004390A"/>
    <w:rsid w:val="00043A78"/>
    <w:rsid w:val="00044083"/>
    <w:rsid w:val="00044E07"/>
    <w:rsid w:val="00045111"/>
    <w:rsid w:val="00045186"/>
    <w:rsid w:val="000456D4"/>
    <w:rsid w:val="00045C24"/>
    <w:rsid w:val="000460A5"/>
    <w:rsid w:val="0004611C"/>
    <w:rsid w:val="00046178"/>
    <w:rsid w:val="00046477"/>
    <w:rsid w:val="0004666E"/>
    <w:rsid w:val="000469B6"/>
    <w:rsid w:val="00046A7E"/>
    <w:rsid w:val="00046EB6"/>
    <w:rsid w:val="0004701C"/>
    <w:rsid w:val="000471BA"/>
    <w:rsid w:val="000474C7"/>
    <w:rsid w:val="00047644"/>
    <w:rsid w:val="000479D9"/>
    <w:rsid w:val="00047C5A"/>
    <w:rsid w:val="00047C8F"/>
    <w:rsid w:val="00050139"/>
    <w:rsid w:val="000504BB"/>
    <w:rsid w:val="00050790"/>
    <w:rsid w:val="00050D01"/>
    <w:rsid w:val="000516CE"/>
    <w:rsid w:val="00051828"/>
    <w:rsid w:val="00051F1A"/>
    <w:rsid w:val="00051F2D"/>
    <w:rsid w:val="000522F8"/>
    <w:rsid w:val="00052702"/>
    <w:rsid w:val="00052B10"/>
    <w:rsid w:val="00052F8E"/>
    <w:rsid w:val="00053020"/>
    <w:rsid w:val="00053042"/>
    <w:rsid w:val="000536C0"/>
    <w:rsid w:val="00053858"/>
    <w:rsid w:val="000538EA"/>
    <w:rsid w:val="00053925"/>
    <w:rsid w:val="0005396B"/>
    <w:rsid w:val="00053A40"/>
    <w:rsid w:val="00053AAC"/>
    <w:rsid w:val="00053B24"/>
    <w:rsid w:val="00053E41"/>
    <w:rsid w:val="00053EF0"/>
    <w:rsid w:val="000540EF"/>
    <w:rsid w:val="000547DA"/>
    <w:rsid w:val="000550BF"/>
    <w:rsid w:val="000551BF"/>
    <w:rsid w:val="00055707"/>
    <w:rsid w:val="00055CBF"/>
    <w:rsid w:val="00055EBA"/>
    <w:rsid w:val="00055F7A"/>
    <w:rsid w:val="0005601B"/>
    <w:rsid w:val="000562BF"/>
    <w:rsid w:val="000567C8"/>
    <w:rsid w:val="00056924"/>
    <w:rsid w:val="00056EA1"/>
    <w:rsid w:val="00056F34"/>
    <w:rsid w:val="00056F9B"/>
    <w:rsid w:val="0005715E"/>
    <w:rsid w:val="0005744A"/>
    <w:rsid w:val="000574F9"/>
    <w:rsid w:val="0005794D"/>
    <w:rsid w:val="00057DFD"/>
    <w:rsid w:val="00057FA7"/>
    <w:rsid w:val="000601AB"/>
    <w:rsid w:val="0006056E"/>
    <w:rsid w:val="00060B4D"/>
    <w:rsid w:val="00060D61"/>
    <w:rsid w:val="00061019"/>
    <w:rsid w:val="000612A5"/>
    <w:rsid w:val="000612A8"/>
    <w:rsid w:val="000614F2"/>
    <w:rsid w:val="0006151F"/>
    <w:rsid w:val="000615F7"/>
    <w:rsid w:val="00061676"/>
    <w:rsid w:val="00061AD3"/>
    <w:rsid w:val="00061D54"/>
    <w:rsid w:val="00061EBE"/>
    <w:rsid w:val="00061EDB"/>
    <w:rsid w:val="00062D85"/>
    <w:rsid w:val="00062DEA"/>
    <w:rsid w:val="00063071"/>
    <w:rsid w:val="00063821"/>
    <w:rsid w:val="000638E8"/>
    <w:rsid w:val="00063AD5"/>
    <w:rsid w:val="00063CEE"/>
    <w:rsid w:val="0006415F"/>
    <w:rsid w:val="000641A8"/>
    <w:rsid w:val="00064446"/>
    <w:rsid w:val="00064682"/>
    <w:rsid w:val="00064764"/>
    <w:rsid w:val="00064C65"/>
    <w:rsid w:val="000650B9"/>
    <w:rsid w:val="000650FD"/>
    <w:rsid w:val="0006511A"/>
    <w:rsid w:val="0006523F"/>
    <w:rsid w:val="0006547A"/>
    <w:rsid w:val="000656CB"/>
    <w:rsid w:val="0006576A"/>
    <w:rsid w:val="000658E2"/>
    <w:rsid w:val="0006598E"/>
    <w:rsid w:val="00065C5A"/>
    <w:rsid w:val="000663E4"/>
    <w:rsid w:val="00066458"/>
    <w:rsid w:val="00066542"/>
    <w:rsid w:val="000666D2"/>
    <w:rsid w:val="0006689B"/>
    <w:rsid w:val="00067155"/>
    <w:rsid w:val="000671D8"/>
    <w:rsid w:val="000672A1"/>
    <w:rsid w:val="000672A9"/>
    <w:rsid w:val="000672AE"/>
    <w:rsid w:val="000673A1"/>
    <w:rsid w:val="000673BA"/>
    <w:rsid w:val="00067464"/>
    <w:rsid w:val="00067BD8"/>
    <w:rsid w:val="00067DDC"/>
    <w:rsid w:val="00067E79"/>
    <w:rsid w:val="00067E8F"/>
    <w:rsid w:val="0006C197"/>
    <w:rsid w:val="000700FA"/>
    <w:rsid w:val="000702B0"/>
    <w:rsid w:val="000704F2"/>
    <w:rsid w:val="0007069A"/>
    <w:rsid w:val="0007069D"/>
    <w:rsid w:val="00070BB9"/>
    <w:rsid w:val="00070EBE"/>
    <w:rsid w:val="00071254"/>
    <w:rsid w:val="00071A01"/>
    <w:rsid w:val="00071CBD"/>
    <w:rsid w:val="00071D7D"/>
    <w:rsid w:val="00072287"/>
    <w:rsid w:val="000723FA"/>
    <w:rsid w:val="000728AB"/>
    <w:rsid w:val="00072D26"/>
    <w:rsid w:val="000732C8"/>
    <w:rsid w:val="00073489"/>
    <w:rsid w:val="00073648"/>
    <w:rsid w:val="00073878"/>
    <w:rsid w:val="00073B1E"/>
    <w:rsid w:val="00073BB7"/>
    <w:rsid w:val="00073E98"/>
    <w:rsid w:val="00074113"/>
    <w:rsid w:val="00074BBB"/>
    <w:rsid w:val="0007520F"/>
    <w:rsid w:val="00075409"/>
    <w:rsid w:val="0007540E"/>
    <w:rsid w:val="0007553D"/>
    <w:rsid w:val="0007554E"/>
    <w:rsid w:val="00075556"/>
    <w:rsid w:val="000760A4"/>
    <w:rsid w:val="000766A8"/>
    <w:rsid w:val="000767EA"/>
    <w:rsid w:val="000768D6"/>
    <w:rsid w:val="00076A32"/>
    <w:rsid w:val="00076ADA"/>
    <w:rsid w:val="00077B3D"/>
    <w:rsid w:val="00077E5B"/>
    <w:rsid w:val="00080553"/>
    <w:rsid w:val="00080620"/>
    <w:rsid w:val="00080719"/>
    <w:rsid w:val="00080840"/>
    <w:rsid w:val="000809E3"/>
    <w:rsid w:val="00080BCC"/>
    <w:rsid w:val="00080E51"/>
    <w:rsid w:val="00081295"/>
    <w:rsid w:val="000815F8"/>
    <w:rsid w:val="00081959"/>
    <w:rsid w:val="00081AE5"/>
    <w:rsid w:val="00081E65"/>
    <w:rsid w:val="0008209E"/>
    <w:rsid w:val="00082146"/>
    <w:rsid w:val="000828DD"/>
    <w:rsid w:val="000829AF"/>
    <w:rsid w:val="00082AED"/>
    <w:rsid w:val="00082F37"/>
    <w:rsid w:val="0008308E"/>
    <w:rsid w:val="00083133"/>
    <w:rsid w:val="00083271"/>
    <w:rsid w:val="00083728"/>
    <w:rsid w:val="00083B8A"/>
    <w:rsid w:val="00083E17"/>
    <w:rsid w:val="000840DD"/>
    <w:rsid w:val="000843C3"/>
    <w:rsid w:val="0008445F"/>
    <w:rsid w:val="00084608"/>
    <w:rsid w:val="00084627"/>
    <w:rsid w:val="000847E8"/>
    <w:rsid w:val="000848C2"/>
    <w:rsid w:val="00084F32"/>
    <w:rsid w:val="00085134"/>
    <w:rsid w:val="000851C8"/>
    <w:rsid w:val="000854C6"/>
    <w:rsid w:val="000855C1"/>
    <w:rsid w:val="000855F1"/>
    <w:rsid w:val="000860B0"/>
    <w:rsid w:val="00086134"/>
    <w:rsid w:val="0008619F"/>
    <w:rsid w:val="000865C6"/>
    <w:rsid w:val="00086D05"/>
    <w:rsid w:val="00086E6E"/>
    <w:rsid w:val="0008705A"/>
    <w:rsid w:val="00087392"/>
    <w:rsid w:val="00087622"/>
    <w:rsid w:val="00087643"/>
    <w:rsid w:val="00087D01"/>
    <w:rsid w:val="0009026C"/>
    <w:rsid w:val="000902A3"/>
    <w:rsid w:val="000903CF"/>
    <w:rsid w:val="00090498"/>
    <w:rsid w:val="00090619"/>
    <w:rsid w:val="000910D1"/>
    <w:rsid w:val="000914E4"/>
    <w:rsid w:val="00091585"/>
    <w:rsid w:val="0009177F"/>
    <w:rsid w:val="00091A73"/>
    <w:rsid w:val="00091AA6"/>
    <w:rsid w:val="00091BEE"/>
    <w:rsid w:val="00091C41"/>
    <w:rsid w:val="00091F71"/>
    <w:rsid w:val="0009214E"/>
    <w:rsid w:val="0009227C"/>
    <w:rsid w:val="000929F9"/>
    <w:rsid w:val="00092D8F"/>
    <w:rsid w:val="00092E21"/>
    <w:rsid w:val="00092EBE"/>
    <w:rsid w:val="00093069"/>
    <w:rsid w:val="0009308E"/>
    <w:rsid w:val="00093129"/>
    <w:rsid w:val="000931B1"/>
    <w:rsid w:val="00093763"/>
    <w:rsid w:val="0009427D"/>
    <w:rsid w:val="000944FE"/>
    <w:rsid w:val="0009457D"/>
    <w:rsid w:val="00094762"/>
    <w:rsid w:val="00094C50"/>
    <w:rsid w:val="00094EE7"/>
    <w:rsid w:val="00094F2F"/>
    <w:rsid w:val="00094F46"/>
    <w:rsid w:val="00095100"/>
    <w:rsid w:val="00095154"/>
    <w:rsid w:val="00095207"/>
    <w:rsid w:val="00095346"/>
    <w:rsid w:val="00095970"/>
    <w:rsid w:val="00095A41"/>
    <w:rsid w:val="00095CF6"/>
    <w:rsid w:val="00095E1F"/>
    <w:rsid w:val="000962EB"/>
    <w:rsid w:val="0009636B"/>
    <w:rsid w:val="00096378"/>
    <w:rsid w:val="000967FC"/>
    <w:rsid w:val="0009699B"/>
    <w:rsid w:val="000969E4"/>
    <w:rsid w:val="00096F7A"/>
    <w:rsid w:val="00097095"/>
    <w:rsid w:val="00097BBE"/>
    <w:rsid w:val="00097F6F"/>
    <w:rsid w:val="000A036F"/>
    <w:rsid w:val="000A03D2"/>
    <w:rsid w:val="000A047A"/>
    <w:rsid w:val="000A08D3"/>
    <w:rsid w:val="000A09B0"/>
    <w:rsid w:val="000A0AB8"/>
    <w:rsid w:val="000A0C0A"/>
    <w:rsid w:val="000A0C20"/>
    <w:rsid w:val="000A0EE1"/>
    <w:rsid w:val="000A1384"/>
    <w:rsid w:val="000A14FB"/>
    <w:rsid w:val="000A16DF"/>
    <w:rsid w:val="000A172E"/>
    <w:rsid w:val="000A18AF"/>
    <w:rsid w:val="000A1B78"/>
    <w:rsid w:val="000A1BE2"/>
    <w:rsid w:val="000A200C"/>
    <w:rsid w:val="000A22DA"/>
    <w:rsid w:val="000A231D"/>
    <w:rsid w:val="000A2398"/>
    <w:rsid w:val="000A243F"/>
    <w:rsid w:val="000A2618"/>
    <w:rsid w:val="000A2836"/>
    <w:rsid w:val="000A2CF3"/>
    <w:rsid w:val="000A2EC9"/>
    <w:rsid w:val="000A3BCE"/>
    <w:rsid w:val="000A402B"/>
    <w:rsid w:val="000A406B"/>
    <w:rsid w:val="000A4349"/>
    <w:rsid w:val="000A4383"/>
    <w:rsid w:val="000A4706"/>
    <w:rsid w:val="000A482F"/>
    <w:rsid w:val="000A49F7"/>
    <w:rsid w:val="000A4B43"/>
    <w:rsid w:val="000A4FD0"/>
    <w:rsid w:val="000A5202"/>
    <w:rsid w:val="000A55CA"/>
    <w:rsid w:val="000A568A"/>
    <w:rsid w:val="000A59A8"/>
    <w:rsid w:val="000A5A9A"/>
    <w:rsid w:val="000A6106"/>
    <w:rsid w:val="000A669D"/>
    <w:rsid w:val="000A67F0"/>
    <w:rsid w:val="000A67FE"/>
    <w:rsid w:val="000A70F8"/>
    <w:rsid w:val="000A7B3D"/>
    <w:rsid w:val="000A7B3F"/>
    <w:rsid w:val="000B0081"/>
    <w:rsid w:val="000B00F5"/>
    <w:rsid w:val="000B025E"/>
    <w:rsid w:val="000B03EF"/>
    <w:rsid w:val="000B080F"/>
    <w:rsid w:val="000B0981"/>
    <w:rsid w:val="000B09EB"/>
    <w:rsid w:val="000B0C0B"/>
    <w:rsid w:val="000B0E08"/>
    <w:rsid w:val="000B14EF"/>
    <w:rsid w:val="000B154A"/>
    <w:rsid w:val="000B16CB"/>
    <w:rsid w:val="000B16D4"/>
    <w:rsid w:val="000B17CB"/>
    <w:rsid w:val="000B1A55"/>
    <w:rsid w:val="000B1B58"/>
    <w:rsid w:val="000B269D"/>
    <w:rsid w:val="000B2812"/>
    <w:rsid w:val="000B2AE0"/>
    <w:rsid w:val="000B382E"/>
    <w:rsid w:val="000B433C"/>
    <w:rsid w:val="000B44DF"/>
    <w:rsid w:val="000B479F"/>
    <w:rsid w:val="000B4982"/>
    <w:rsid w:val="000B4C33"/>
    <w:rsid w:val="000B4E6F"/>
    <w:rsid w:val="000B5626"/>
    <w:rsid w:val="000B5792"/>
    <w:rsid w:val="000B59A3"/>
    <w:rsid w:val="000B5C7F"/>
    <w:rsid w:val="000B5E1B"/>
    <w:rsid w:val="000B5E21"/>
    <w:rsid w:val="000B6174"/>
    <w:rsid w:val="000B6598"/>
    <w:rsid w:val="000B6599"/>
    <w:rsid w:val="000B669C"/>
    <w:rsid w:val="000B66CC"/>
    <w:rsid w:val="000B6C44"/>
    <w:rsid w:val="000B71DB"/>
    <w:rsid w:val="000B7284"/>
    <w:rsid w:val="000B7336"/>
    <w:rsid w:val="000B75FF"/>
    <w:rsid w:val="000B77BC"/>
    <w:rsid w:val="000B7918"/>
    <w:rsid w:val="000B7E06"/>
    <w:rsid w:val="000C035D"/>
    <w:rsid w:val="000C07E3"/>
    <w:rsid w:val="000C0872"/>
    <w:rsid w:val="000C08EB"/>
    <w:rsid w:val="000C09CD"/>
    <w:rsid w:val="000C0B34"/>
    <w:rsid w:val="000C0BDA"/>
    <w:rsid w:val="000C0C82"/>
    <w:rsid w:val="000C1293"/>
    <w:rsid w:val="000C19BF"/>
    <w:rsid w:val="000C1F8B"/>
    <w:rsid w:val="000C2161"/>
    <w:rsid w:val="000C2498"/>
    <w:rsid w:val="000C2A38"/>
    <w:rsid w:val="000C2A82"/>
    <w:rsid w:val="000C2D9F"/>
    <w:rsid w:val="000C2DAC"/>
    <w:rsid w:val="000C2DF1"/>
    <w:rsid w:val="000C3228"/>
    <w:rsid w:val="000C3432"/>
    <w:rsid w:val="000C3474"/>
    <w:rsid w:val="000C37BE"/>
    <w:rsid w:val="000C3A6E"/>
    <w:rsid w:val="000C3B48"/>
    <w:rsid w:val="000C3FE8"/>
    <w:rsid w:val="000C438F"/>
    <w:rsid w:val="000C48AF"/>
    <w:rsid w:val="000C48B8"/>
    <w:rsid w:val="000C4908"/>
    <w:rsid w:val="000C5207"/>
    <w:rsid w:val="000C529C"/>
    <w:rsid w:val="000C52EE"/>
    <w:rsid w:val="000C53E3"/>
    <w:rsid w:val="000C5527"/>
    <w:rsid w:val="000C5638"/>
    <w:rsid w:val="000C5B1D"/>
    <w:rsid w:val="000C5CD7"/>
    <w:rsid w:val="000C5E5C"/>
    <w:rsid w:val="000C5FC7"/>
    <w:rsid w:val="000C5FFA"/>
    <w:rsid w:val="000C60C6"/>
    <w:rsid w:val="000C60EF"/>
    <w:rsid w:val="000C6977"/>
    <w:rsid w:val="000C6B3D"/>
    <w:rsid w:val="000C6D1F"/>
    <w:rsid w:val="000C6DBF"/>
    <w:rsid w:val="000C6EEE"/>
    <w:rsid w:val="000C71D7"/>
    <w:rsid w:val="000C722C"/>
    <w:rsid w:val="000C76E5"/>
    <w:rsid w:val="000C7721"/>
    <w:rsid w:val="000C7CB4"/>
    <w:rsid w:val="000D0832"/>
    <w:rsid w:val="000D08D7"/>
    <w:rsid w:val="000D0A6F"/>
    <w:rsid w:val="000D0F09"/>
    <w:rsid w:val="000D1455"/>
    <w:rsid w:val="000D16F2"/>
    <w:rsid w:val="000D1E78"/>
    <w:rsid w:val="000D22BA"/>
    <w:rsid w:val="000D2350"/>
    <w:rsid w:val="000D2377"/>
    <w:rsid w:val="000D2A4D"/>
    <w:rsid w:val="000D2D4A"/>
    <w:rsid w:val="000D30B4"/>
    <w:rsid w:val="000D30D3"/>
    <w:rsid w:val="000D3227"/>
    <w:rsid w:val="000D32DD"/>
    <w:rsid w:val="000D3498"/>
    <w:rsid w:val="000D3535"/>
    <w:rsid w:val="000D35D6"/>
    <w:rsid w:val="000D3793"/>
    <w:rsid w:val="000D39E5"/>
    <w:rsid w:val="000D3CD5"/>
    <w:rsid w:val="000D3EF1"/>
    <w:rsid w:val="000D4034"/>
    <w:rsid w:val="000D4198"/>
    <w:rsid w:val="000D46C3"/>
    <w:rsid w:val="000D4C0C"/>
    <w:rsid w:val="000D4C2D"/>
    <w:rsid w:val="000D4E8F"/>
    <w:rsid w:val="000D50AA"/>
    <w:rsid w:val="000D5758"/>
    <w:rsid w:val="000D58A1"/>
    <w:rsid w:val="000D59AB"/>
    <w:rsid w:val="000D5D12"/>
    <w:rsid w:val="000D5E68"/>
    <w:rsid w:val="000D64CB"/>
    <w:rsid w:val="000D679B"/>
    <w:rsid w:val="000D68C1"/>
    <w:rsid w:val="000D6984"/>
    <w:rsid w:val="000D6C17"/>
    <w:rsid w:val="000D6F24"/>
    <w:rsid w:val="000D718E"/>
    <w:rsid w:val="000D7220"/>
    <w:rsid w:val="000D738E"/>
    <w:rsid w:val="000D7528"/>
    <w:rsid w:val="000D78E0"/>
    <w:rsid w:val="000D799C"/>
    <w:rsid w:val="000D7AD6"/>
    <w:rsid w:val="000D7D7B"/>
    <w:rsid w:val="000E02BD"/>
    <w:rsid w:val="000E02E2"/>
    <w:rsid w:val="000E044C"/>
    <w:rsid w:val="000E0B8E"/>
    <w:rsid w:val="000E0EC9"/>
    <w:rsid w:val="000E0F63"/>
    <w:rsid w:val="000E103F"/>
    <w:rsid w:val="000E122A"/>
    <w:rsid w:val="000E1276"/>
    <w:rsid w:val="000E127A"/>
    <w:rsid w:val="000E1507"/>
    <w:rsid w:val="000E1881"/>
    <w:rsid w:val="000E1921"/>
    <w:rsid w:val="000E1BDD"/>
    <w:rsid w:val="000E1BF0"/>
    <w:rsid w:val="000E202B"/>
    <w:rsid w:val="000E2480"/>
    <w:rsid w:val="000E2BD2"/>
    <w:rsid w:val="000E2DEA"/>
    <w:rsid w:val="000E3225"/>
    <w:rsid w:val="000E33AA"/>
    <w:rsid w:val="000E35C7"/>
    <w:rsid w:val="000E37DD"/>
    <w:rsid w:val="000E3840"/>
    <w:rsid w:val="000E391E"/>
    <w:rsid w:val="000E429E"/>
    <w:rsid w:val="000E42C8"/>
    <w:rsid w:val="000E43FC"/>
    <w:rsid w:val="000E4658"/>
    <w:rsid w:val="000E4E96"/>
    <w:rsid w:val="000E5445"/>
    <w:rsid w:val="000E5662"/>
    <w:rsid w:val="000E5669"/>
    <w:rsid w:val="000E5A5D"/>
    <w:rsid w:val="000E5BEE"/>
    <w:rsid w:val="000E60B4"/>
    <w:rsid w:val="000E6823"/>
    <w:rsid w:val="000E6E53"/>
    <w:rsid w:val="000E6F79"/>
    <w:rsid w:val="000E747A"/>
    <w:rsid w:val="000E76DB"/>
    <w:rsid w:val="000E7A57"/>
    <w:rsid w:val="000E7FF3"/>
    <w:rsid w:val="000F1087"/>
    <w:rsid w:val="000F19B2"/>
    <w:rsid w:val="000F1A86"/>
    <w:rsid w:val="000F2392"/>
    <w:rsid w:val="000F23BB"/>
    <w:rsid w:val="000F279B"/>
    <w:rsid w:val="000F29AE"/>
    <w:rsid w:val="000F2B3F"/>
    <w:rsid w:val="000F2C5E"/>
    <w:rsid w:val="000F2EBF"/>
    <w:rsid w:val="000F2FFE"/>
    <w:rsid w:val="000F304D"/>
    <w:rsid w:val="000F30BE"/>
    <w:rsid w:val="000F3574"/>
    <w:rsid w:val="000F3A31"/>
    <w:rsid w:val="000F3F1E"/>
    <w:rsid w:val="000F4176"/>
    <w:rsid w:val="000F42EF"/>
    <w:rsid w:val="000F451E"/>
    <w:rsid w:val="000F471C"/>
    <w:rsid w:val="000F49EF"/>
    <w:rsid w:val="000F53E5"/>
    <w:rsid w:val="000F54BE"/>
    <w:rsid w:val="000F573D"/>
    <w:rsid w:val="000F5A98"/>
    <w:rsid w:val="000F5AC9"/>
    <w:rsid w:val="000F60D6"/>
    <w:rsid w:val="000F6225"/>
    <w:rsid w:val="000F6A25"/>
    <w:rsid w:val="000F6B15"/>
    <w:rsid w:val="000F6B49"/>
    <w:rsid w:val="000F6B95"/>
    <w:rsid w:val="000F6C18"/>
    <w:rsid w:val="000F6C37"/>
    <w:rsid w:val="000F7003"/>
    <w:rsid w:val="000F71B5"/>
    <w:rsid w:val="000F7295"/>
    <w:rsid w:val="000F73DE"/>
    <w:rsid w:val="000F7441"/>
    <w:rsid w:val="000F764F"/>
    <w:rsid w:val="000F7767"/>
    <w:rsid w:val="000F77D7"/>
    <w:rsid w:val="000F78D0"/>
    <w:rsid w:val="000F7935"/>
    <w:rsid w:val="000F7B2C"/>
    <w:rsid w:val="000F7B86"/>
    <w:rsid w:val="000F7D8F"/>
    <w:rsid w:val="001000EA"/>
    <w:rsid w:val="00100143"/>
    <w:rsid w:val="00100552"/>
    <w:rsid w:val="0010061C"/>
    <w:rsid w:val="00100CCC"/>
    <w:rsid w:val="00100D10"/>
    <w:rsid w:val="00100F28"/>
    <w:rsid w:val="0010108E"/>
    <w:rsid w:val="00101318"/>
    <w:rsid w:val="00101392"/>
    <w:rsid w:val="0010151F"/>
    <w:rsid w:val="0010178D"/>
    <w:rsid w:val="00101874"/>
    <w:rsid w:val="00101930"/>
    <w:rsid w:val="00101C4F"/>
    <w:rsid w:val="001021AE"/>
    <w:rsid w:val="0010227E"/>
    <w:rsid w:val="00102428"/>
    <w:rsid w:val="00102431"/>
    <w:rsid w:val="0010268B"/>
    <w:rsid w:val="00102B30"/>
    <w:rsid w:val="00102D87"/>
    <w:rsid w:val="0010391E"/>
    <w:rsid w:val="00103DF7"/>
    <w:rsid w:val="0010431E"/>
    <w:rsid w:val="00104393"/>
    <w:rsid w:val="00104800"/>
    <w:rsid w:val="001049A8"/>
    <w:rsid w:val="001049E2"/>
    <w:rsid w:val="00104B9A"/>
    <w:rsid w:val="00104C3E"/>
    <w:rsid w:val="00104D39"/>
    <w:rsid w:val="00104FE1"/>
    <w:rsid w:val="00105112"/>
    <w:rsid w:val="001052D3"/>
    <w:rsid w:val="001053F1"/>
    <w:rsid w:val="00105ADC"/>
    <w:rsid w:val="00105B2C"/>
    <w:rsid w:val="00105BD3"/>
    <w:rsid w:val="001061C3"/>
    <w:rsid w:val="001063F1"/>
    <w:rsid w:val="00106F61"/>
    <w:rsid w:val="00107095"/>
    <w:rsid w:val="0010732D"/>
    <w:rsid w:val="00107822"/>
    <w:rsid w:val="00107B9C"/>
    <w:rsid w:val="0011015D"/>
    <w:rsid w:val="001103C2"/>
    <w:rsid w:val="001104E6"/>
    <w:rsid w:val="001105C9"/>
    <w:rsid w:val="00110629"/>
    <w:rsid w:val="00110634"/>
    <w:rsid w:val="0011070B"/>
    <w:rsid w:val="001112EF"/>
    <w:rsid w:val="00111562"/>
    <w:rsid w:val="00111704"/>
    <w:rsid w:val="0011181F"/>
    <w:rsid w:val="00111C53"/>
    <w:rsid w:val="00111CF8"/>
    <w:rsid w:val="00111FE9"/>
    <w:rsid w:val="00112615"/>
    <w:rsid w:val="00112624"/>
    <w:rsid w:val="00112B53"/>
    <w:rsid w:val="00112C06"/>
    <w:rsid w:val="00112E55"/>
    <w:rsid w:val="00113053"/>
    <w:rsid w:val="001131F8"/>
    <w:rsid w:val="001137C0"/>
    <w:rsid w:val="0011382E"/>
    <w:rsid w:val="0011388B"/>
    <w:rsid w:val="001138F6"/>
    <w:rsid w:val="00113951"/>
    <w:rsid w:val="001139B9"/>
    <w:rsid w:val="001139FE"/>
    <w:rsid w:val="001140CD"/>
    <w:rsid w:val="00114300"/>
    <w:rsid w:val="00114483"/>
    <w:rsid w:val="00114807"/>
    <w:rsid w:val="00114936"/>
    <w:rsid w:val="001149A4"/>
    <w:rsid w:val="00114C1D"/>
    <w:rsid w:val="00114D76"/>
    <w:rsid w:val="00114EAD"/>
    <w:rsid w:val="001150BE"/>
    <w:rsid w:val="001151D2"/>
    <w:rsid w:val="001154FE"/>
    <w:rsid w:val="00115964"/>
    <w:rsid w:val="00115989"/>
    <w:rsid w:val="00115BD0"/>
    <w:rsid w:val="00115FC7"/>
    <w:rsid w:val="00116360"/>
    <w:rsid w:val="001166F0"/>
    <w:rsid w:val="0011684D"/>
    <w:rsid w:val="00116992"/>
    <w:rsid w:val="001169D1"/>
    <w:rsid w:val="00116B49"/>
    <w:rsid w:val="0011704C"/>
    <w:rsid w:val="00117156"/>
    <w:rsid w:val="001171D5"/>
    <w:rsid w:val="001176AB"/>
    <w:rsid w:val="00117765"/>
    <w:rsid w:val="00117913"/>
    <w:rsid w:val="00117A59"/>
    <w:rsid w:val="00120066"/>
    <w:rsid w:val="0012028B"/>
    <w:rsid w:val="001205DC"/>
    <w:rsid w:val="00120956"/>
    <w:rsid w:val="001209DB"/>
    <w:rsid w:val="00120B3F"/>
    <w:rsid w:val="00120B8B"/>
    <w:rsid w:val="00120B94"/>
    <w:rsid w:val="00120E5E"/>
    <w:rsid w:val="00121044"/>
    <w:rsid w:val="00121194"/>
    <w:rsid w:val="00121572"/>
    <w:rsid w:val="001216ED"/>
    <w:rsid w:val="00121855"/>
    <w:rsid w:val="0012197B"/>
    <w:rsid w:val="00121A14"/>
    <w:rsid w:val="00121D07"/>
    <w:rsid w:val="00121DD8"/>
    <w:rsid w:val="00121E0B"/>
    <w:rsid w:val="00121E52"/>
    <w:rsid w:val="00121E9B"/>
    <w:rsid w:val="00121EE5"/>
    <w:rsid w:val="001221F6"/>
    <w:rsid w:val="00122234"/>
    <w:rsid w:val="001223FB"/>
    <w:rsid w:val="001226AF"/>
    <w:rsid w:val="001227AE"/>
    <w:rsid w:val="00122D0B"/>
    <w:rsid w:val="00122D87"/>
    <w:rsid w:val="00122D8A"/>
    <w:rsid w:val="00122DAC"/>
    <w:rsid w:val="0012303C"/>
    <w:rsid w:val="0012318F"/>
    <w:rsid w:val="0012338A"/>
    <w:rsid w:val="0012367A"/>
    <w:rsid w:val="00123CF7"/>
    <w:rsid w:val="00124025"/>
    <w:rsid w:val="00124329"/>
    <w:rsid w:val="00124336"/>
    <w:rsid w:val="00124580"/>
    <w:rsid w:val="00124775"/>
    <w:rsid w:val="0012481F"/>
    <w:rsid w:val="001249AB"/>
    <w:rsid w:val="00124F92"/>
    <w:rsid w:val="00125231"/>
    <w:rsid w:val="00125784"/>
    <w:rsid w:val="0012589B"/>
    <w:rsid w:val="001258F5"/>
    <w:rsid w:val="00125DA5"/>
    <w:rsid w:val="00125EF5"/>
    <w:rsid w:val="00125FE0"/>
    <w:rsid w:val="00126467"/>
    <w:rsid w:val="001265AB"/>
    <w:rsid w:val="001269D0"/>
    <w:rsid w:val="00126BAB"/>
    <w:rsid w:val="001273FA"/>
    <w:rsid w:val="00127660"/>
    <w:rsid w:val="00127711"/>
    <w:rsid w:val="001279B8"/>
    <w:rsid w:val="00127BE9"/>
    <w:rsid w:val="00127F4E"/>
    <w:rsid w:val="001302A0"/>
    <w:rsid w:val="00130331"/>
    <w:rsid w:val="00130777"/>
    <w:rsid w:val="00130952"/>
    <w:rsid w:val="00131347"/>
    <w:rsid w:val="00131352"/>
    <w:rsid w:val="00131437"/>
    <w:rsid w:val="00131541"/>
    <w:rsid w:val="001319ED"/>
    <w:rsid w:val="00131AED"/>
    <w:rsid w:val="0013225B"/>
    <w:rsid w:val="0013226B"/>
    <w:rsid w:val="001323C7"/>
    <w:rsid w:val="00132BAE"/>
    <w:rsid w:val="00132CAA"/>
    <w:rsid w:val="00132D52"/>
    <w:rsid w:val="00132DA2"/>
    <w:rsid w:val="00132DB2"/>
    <w:rsid w:val="00132FBE"/>
    <w:rsid w:val="00133607"/>
    <w:rsid w:val="00133B72"/>
    <w:rsid w:val="00133F4F"/>
    <w:rsid w:val="00133F50"/>
    <w:rsid w:val="0013427D"/>
    <w:rsid w:val="001344C3"/>
    <w:rsid w:val="0013461A"/>
    <w:rsid w:val="00134F6B"/>
    <w:rsid w:val="00134FA1"/>
    <w:rsid w:val="001351A2"/>
    <w:rsid w:val="00135319"/>
    <w:rsid w:val="00135460"/>
    <w:rsid w:val="0013550C"/>
    <w:rsid w:val="00135702"/>
    <w:rsid w:val="00135B8E"/>
    <w:rsid w:val="00135DEB"/>
    <w:rsid w:val="00136051"/>
    <w:rsid w:val="00136894"/>
    <w:rsid w:val="00136988"/>
    <w:rsid w:val="00136D84"/>
    <w:rsid w:val="0013714E"/>
    <w:rsid w:val="001376A3"/>
    <w:rsid w:val="00137766"/>
    <w:rsid w:val="00137D10"/>
    <w:rsid w:val="00137FA1"/>
    <w:rsid w:val="001400C8"/>
    <w:rsid w:val="00140250"/>
    <w:rsid w:val="001402DC"/>
    <w:rsid w:val="00140812"/>
    <w:rsid w:val="001408AD"/>
    <w:rsid w:val="00140DF2"/>
    <w:rsid w:val="00140E1F"/>
    <w:rsid w:val="00140F02"/>
    <w:rsid w:val="00140F83"/>
    <w:rsid w:val="0014181F"/>
    <w:rsid w:val="001418A2"/>
    <w:rsid w:val="00141A2D"/>
    <w:rsid w:val="00141E0A"/>
    <w:rsid w:val="00142048"/>
    <w:rsid w:val="0014242E"/>
    <w:rsid w:val="00142691"/>
    <w:rsid w:val="00142B28"/>
    <w:rsid w:val="00142B55"/>
    <w:rsid w:val="00142BFD"/>
    <w:rsid w:val="00142CF7"/>
    <w:rsid w:val="00143139"/>
    <w:rsid w:val="00143465"/>
    <w:rsid w:val="001435E2"/>
    <w:rsid w:val="00143986"/>
    <w:rsid w:val="00143AF7"/>
    <w:rsid w:val="001442FA"/>
    <w:rsid w:val="001447B4"/>
    <w:rsid w:val="00144924"/>
    <w:rsid w:val="00144A63"/>
    <w:rsid w:val="00144BF5"/>
    <w:rsid w:val="00145282"/>
    <w:rsid w:val="0014559E"/>
    <w:rsid w:val="00145A6D"/>
    <w:rsid w:val="00145CE4"/>
    <w:rsid w:val="00146219"/>
    <w:rsid w:val="001462CD"/>
    <w:rsid w:val="0014638B"/>
    <w:rsid w:val="00146444"/>
    <w:rsid w:val="001464C5"/>
    <w:rsid w:val="001465B0"/>
    <w:rsid w:val="00146A03"/>
    <w:rsid w:val="00146B4F"/>
    <w:rsid w:val="00146E96"/>
    <w:rsid w:val="00146F63"/>
    <w:rsid w:val="00147018"/>
    <w:rsid w:val="00147AF2"/>
    <w:rsid w:val="00147B4E"/>
    <w:rsid w:val="00147B9F"/>
    <w:rsid w:val="00147C66"/>
    <w:rsid w:val="00150342"/>
    <w:rsid w:val="00150435"/>
    <w:rsid w:val="00150453"/>
    <w:rsid w:val="00150649"/>
    <w:rsid w:val="00150948"/>
    <w:rsid w:val="00150CB6"/>
    <w:rsid w:val="0015119C"/>
    <w:rsid w:val="00151424"/>
    <w:rsid w:val="00151488"/>
    <w:rsid w:val="00151984"/>
    <w:rsid w:val="00152130"/>
    <w:rsid w:val="00152329"/>
    <w:rsid w:val="001523CB"/>
    <w:rsid w:val="00152E71"/>
    <w:rsid w:val="0015362E"/>
    <w:rsid w:val="001536E8"/>
    <w:rsid w:val="00153921"/>
    <w:rsid w:val="00153A1B"/>
    <w:rsid w:val="00153B75"/>
    <w:rsid w:val="00153CEF"/>
    <w:rsid w:val="00154220"/>
    <w:rsid w:val="001546F7"/>
    <w:rsid w:val="00154AF1"/>
    <w:rsid w:val="00154C0F"/>
    <w:rsid w:val="00154F98"/>
    <w:rsid w:val="00155222"/>
    <w:rsid w:val="001552DD"/>
    <w:rsid w:val="00155430"/>
    <w:rsid w:val="0015548E"/>
    <w:rsid w:val="00155689"/>
    <w:rsid w:val="00155862"/>
    <w:rsid w:val="00155D3E"/>
    <w:rsid w:val="00155D58"/>
    <w:rsid w:val="00157164"/>
    <w:rsid w:val="001578C3"/>
    <w:rsid w:val="00157948"/>
    <w:rsid w:val="001579AB"/>
    <w:rsid w:val="00157B60"/>
    <w:rsid w:val="00157B9E"/>
    <w:rsid w:val="00157F0D"/>
    <w:rsid w:val="00160213"/>
    <w:rsid w:val="0016025F"/>
    <w:rsid w:val="00160401"/>
    <w:rsid w:val="0016052D"/>
    <w:rsid w:val="00160C3E"/>
    <w:rsid w:val="00161380"/>
    <w:rsid w:val="00161607"/>
    <w:rsid w:val="00161970"/>
    <w:rsid w:val="00161CE6"/>
    <w:rsid w:val="0016230F"/>
    <w:rsid w:val="0016294A"/>
    <w:rsid w:val="00162C97"/>
    <w:rsid w:val="00162E0D"/>
    <w:rsid w:val="00162F8F"/>
    <w:rsid w:val="00163280"/>
    <w:rsid w:val="00163633"/>
    <w:rsid w:val="0016380D"/>
    <w:rsid w:val="0016386B"/>
    <w:rsid w:val="00163FE2"/>
    <w:rsid w:val="00164118"/>
    <w:rsid w:val="00164695"/>
    <w:rsid w:val="001646C9"/>
    <w:rsid w:val="00164B73"/>
    <w:rsid w:val="00164F49"/>
    <w:rsid w:val="00164FC7"/>
    <w:rsid w:val="0016518E"/>
    <w:rsid w:val="001651F7"/>
    <w:rsid w:val="001653FD"/>
    <w:rsid w:val="00165781"/>
    <w:rsid w:val="00165A9B"/>
    <w:rsid w:val="00165BC6"/>
    <w:rsid w:val="001661BA"/>
    <w:rsid w:val="001664FF"/>
    <w:rsid w:val="001667EA"/>
    <w:rsid w:val="00166C70"/>
    <w:rsid w:val="00166CC0"/>
    <w:rsid w:val="0016710D"/>
    <w:rsid w:val="00167228"/>
    <w:rsid w:val="001676A7"/>
    <w:rsid w:val="001678CF"/>
    <w:rsid w:val="00167C47"/>
    <w:rsid w:val="00167F2E"/>
    <w:rsid w:val="00170163"/>
    <w:rsid w:val="00170633"/>
    <w:rsid w:val="0017069D"/>
    <w:rsid w:val="00170877"/>
    <w:rsid w:val="0017090F"/>
    <w:rsid w:val="00170BF0"/>
    <w:rsid w:val="001712AA"/>
    <w:rsid w:val="0017138B"/>
    <w:rsid w:val="00171783"/>
    <w:rsid w:val="00171A22"/>
    <w:rsid w:val="00171B85"/>
    <w:rsid w:val="00171BA6"/>
    <w:rsid w:val="00171D18"/>
    <w:rsid w:val="00172AAE"/>
    <w:rsid w:val="00172B0C"/>
    <w:rsid w:val="00173192"/>
    <w:rsid w:val="00173363"/>
    <w:rsid w:val="00173856"/>
    <w:rsid w:val="00173C57"/>
    <w:rsid w:val="00174358"/>
    <w:rsid w:val="0017437C"/>
    <w:rsid w:val="00174623"/>
    <w:rsid w:val="001746A3"/>
    <w:rsid w:val="0017503B"/>
    <w:rsid w:val="00175372"/>
    <w:rsid w:val="00175387"/>
    <w:rsid w:val="00175583"/>
    <w:rsid w:val="00175D63"/>
    <w:rsid w:val="001764EC"/>
    <w:rsid w:val="001769EE"/>
    <w:rsid w:val="00176A9D"/>
    <w:rsid w:val="00176ABE"/>
    <w:rsid w:val="001770FC"/>
    <w:rsid w:val="0017723D"/>
    <w:rsid w:val="00177386"/>
    <w:rsid w:val="001779BF"/>
    <w:rsid w:val="00177C70"/>
    <w:rsid w:val="00177FC1"/>
    <w:rsid w:val="00180003"/>
    <w:rsid w:val="00180560"/>
    <w:rsid w:val="001806C1"/>
    <w:rsid w:val="00180AB2"/>
    <w:rsid w:val="00180D9A"/>
    <w:rsid w:val="00180F04"/>
    <w:rsid w:val="001812C5"/>
    <w:rsid w:val="00181429"/>
    <w:rsid w:val="001814D5"/>
    <w:rsid w:val="001815B5"/>
    <w:rsid w:val="00181DF9"/>
    <w:rsid w:val="00181E47"/>
    <w:rsid w:val="00181FFA"/>
    <w:rsid w:val="00182285"/>
    <w:rsid w:val="00182368"/>
    <w:rsid w:val="00182443"/>
    <w:rsid w:val="00182799"/>
    <w:rsid w:val="001829F5"/>
    <w:rsid w:val="00182E76"/>
    <w:rsid w:val="00182ED7"/>
    <w:rsid w:val="0018316A"/>
    <w:rsid w:val="0018319F"/>
    <w:rsid w:val="001832DF"/>
    <w:rsid w:val="001833DF"/>
    <w:rsid w:val="0018349E"/>
    <w:rsid w:val="0018366F"/>
    <w:rsid w:val="001837B3"/>
    <w:rsid w:val="001838C1"/>
    <w:rsid w:val="00183A1C"/>
    <w:rsid w:val="00183D6D"/>
    <w:rsid w:val="00183E6F"/>
    <w:rsid w:val="00183F4F"/>
    <w:rsid w:val="001842C0"/>
    <w:rsid w:val="001843FA"/>
    <w:rsid w:val="00184899"/>
    <w:rsid w:val="001849A7"/>
    <w:rsid w:val="00184B1E"/>
    <w:rsid w:val="00184E7C"/>
    <w:rsid w:val="001850C6"/>
    <w:rsid w:val="0018515E"/>
    <w:rsid w:val="001858F8"/>
    <w:rsid w:val="00185AD5"/>
    <w:rsid w:val="00186194"/>
    <w:rsid w:val="0018677A"/>
    <w:rsid w:val="001869BB"/>
    <w:rsid w:val="00186A7A"/>
    <w:rsid w:val="00186ADF"/>
    <w:rsid w:val="00186BD8"/>
    <w:rsid w:val="001878DD"/>
    <w:rsid w:val="0019013C"/>
    <w:rsid w:val="001903B8"/>
    <w:rsid w:val="00190A04"/>
    <w:rsid w:val="00190AA3"/>
    <w:rsid w:val="00190B3F"/>
    <w:rsid w:val="00191612"/>
    <w:rsid w:val="00191829"/>
    <w:rsid w:val="00191934"/>
    <w:rsid w:val="00191AC7"/>
    <w:rsid w:val="00191B55"/>
    <w:rsid w:val="0019229D"/>
    <w:rsid w:val="00192EC3"/>
    <w:rsid w:val="00193721"/>
    <w:rsid w:val="00193785"/>
    <w:rsid w:val="00193B2C"/>
    <w:rsid w:val="00194051"/>
    <w:rsid w:val="00194416"/>
    <w:rsid w:val="0019445E"/>
    <w:rsid w:val="00194639"/>
    <w:rsid w:val="00194691"/>
    <w:rsid w:val="00194723"/>
    <w:rsid w:val="00194E6D"/>
    <w:rsid w:val="0019519C"/>
    <w:rsid w:val="00195A37"/>
    <w:rsid w:val="00195A3F"/>
    <w:rsid w:val="00195E6E"/>
    <w:rsid w:val="00195E8C"/>
    <w:rsid w:val="001964B0"/>
    <w:rsid w:val="00196A74"/>
    <w:rsid w:val="00196AC0"/>
    <w:rsid w:val="00196AD2"/>
    <w:rsid w:val="00197150"/>
    <w:rsid w:val="0019763B"/>
    <w:rsid w:val="00197652"/>
    <w:rsid w:val="00197737"/>
    <w:rsid w:val="00197C12"/>
    <w:rsid w:val="00197D6C"/>
    <w:rsid w:val="001A027D"/>
    <w:rsid w:val="001A03EC"/>
    <w:rsid w:val="001A054F"/>
    <w:rsid w:val="001A05C9"/>
    <w:rsid w:val="001A06CE"/>
    <w:rsid w:val="001A0D14"/>
    <w:rsid w:val="001A0E6D"/>
    <w:rsid w:val="001A1141"/>
    <w:rsid w:val="001A12ED"/>
    <w:rsid w:val="001A194E"/>
    <w:rsid w:val="001A1DE1"/>
    <w:rsid w:val="001A1E75"/>
    <w:rsid w:val="001A20CA"/>
    <w:rsid w:val="001A228A"/>
    <w:rsid w:val="001A2361"/>
    <w:rsid w:val="001A243A"/>
    <w:rsid w:val="001A2783"/>
    <w:rsid w:val="001A2AB1"/>
    <w:rsid w:val="001A2EA8"/>
    <w:rsid w:val="001A3148"/>
    <w:rsid w:val="001A344F"/>
    <w:rsid w:val="001A35DF"/>
    <w:rsid w:val="001A3642"/>
    <w:rsid w:val="001A39A4"/>
    <w:rsid w:val="001A3ABC"/>
    <w:rsid w:val="001A3EC3"/>
    <w:rsid w:val="001A40A7"/>
    <w:rsid w:val="001A4152"/>
    <w:rsid w:val="001A4198"/>
    <w:rsid w:val="001A42F6"/>
    <w:rsid w:val="001A4462"/>
    <w:rsid w:val="001A465E"/>
    <w:rsid w:val="001A46C0"/>
    <w:rsid w:val="001A4D84"/>
    <w:rsid w:val="001A51EC"/>
    <w:rsid w:val="001A5597"/>
    <w:rsid w:val="001A57A5"/>
    <w:rsid w:val="001A57DD"/>
    <w:rsid w:val="001A5932"/>
    <w:rsid w:val="001A5E92"/>
    <w:rsid w:val="001A5F75"/>
    <w:rsid w:val="001A5FF0"/>
    <w:rsid w:val="001A6173"/>
    <w:rsid w:val="001A6735"/>
    <w:rsid w:val="001A6C6F"/>
    <w:rsid w:val="001A7087"/>
    <w:rsid w:val="001A766E"/>
    <w:rsid w:val="001A7997"/>
    <w:rsid w:val="001A79BF"/>
    <w:rsid w:val="001A7BA9"/>
    <w:rsid w:val="001B03F0"/>
    <w:rsid w:val="001B0BEB"/>
    <w:rsid w:val="001B0D41"/>
    <w:rsid w:val="001B0DF1"/>
    <w:rsid w:val="001B11F7"/>
    <w:rsid w:val="001B1446"/>
    <w:rsid w:val="001B15AE"/>
    <w:rsid w:val="001B1641"/>
    <w:rsid w:val="001B1E89"/>
    <w:rsid w:val="001B2565"/>
    <w:rsid w:val="001B2767"/>
    <w:rsid w:val="001B28A6"/>
    <w:rsid w:val="001B2ABD"/>
    <w:rsid w:val="001B2EF6"/>
    <w:rsid w:val="001B3092"/>
    <w:rsid w:val="001B31AD"/>
    <w:rsid w:val="001B360E"/>
    <w:rsid w:val="001B37B2"/>
    <w:rsid w:val="001B384F"/>
    <w:rsid w:val="001B3928"/>
    <w:rsid w:val="001B39DA"/>
    <w:rsid w:val="001B3C54"/>
    <w:rsid w:val="001B4100"/>
    <w:rsid w:val="001B421F"/>
    <w:rsid w:val="001B4344"/>
    <w:rsid w:val="001B4563"/>
    <w:rsid w:val="001B4C8B"/>
    <w:rsid w:val="001B514A"/>
    <w:rsid w:val="001B55FC"/>
    <w:rsid w:val="001B6597"/>
    <w:rsid w:val="001B6652"/>
    <w:rsid w:val="001B69A3"/>
    <w:rsid w:val="001B69AA"/>
    <w:rsid w:val="001B6B0C"/>
    <w:rsid w:val="001B6BE1"/>
    <w:rsid w:val="001B6CC5"/>
    <w:rsid w:val="001B6D89"/>
    <w:rsid w:val="001B73D7"/>
    <w:rsid w:val="001BCABA"/>
    <w:rsid w:val="001C05BF"/>
    <w:rsid w:val="001C08C7"/>
    <w:rsid w:val="001C09A5"/>
    <w:rsid w:val="001C0ACF"/>
    <w:rsid w:val="001C0F10"/>
    <w:rsid w:val="001C114F"/>
    <w:rsid w:val="001C1581"/>
    <w:rsid w:val="001C17EB"/>
    <w:rsid w:val="001C2251"/>
    <w:rsid w:val="001C22E0"/>
    <w:rsid w:val="001C26EF"/>
    <w:rsid w:val="001C293F"/>
    <w:rsid w:val="001C2BA9"/>
    <w:rsid w:val="001C2D36"/>
    <w:rsid w:val="001C2FEB"/>
    <w:rsid w:val="001C368D"/>
    <w:rsid w:val="001C36E3"/>
    <w:rsid w:val="001C37EC"/>
    <w:rsid w:val="001C38AA"/>
    <w:rsid w:val="001C3908"/>
    <w:rsid w:val="001C3C21"/>
    <w:rsid w:val="001C4344"/>
    <w:rsid w:val="001C439E"/>
    <w:rsid w:val="001C45DF"/>
    <w:rsid w:val="001C4B69"/>
    <w:rsid w:val="001C4CE2"/>
    <w:rsid w:val="001C4D3A"/>
    <w:rsid w:val="001C5264"/>
    <w:rsid w:val="001C553B"/>
    <w:rsid w:val="001C56C6"/>
    <w:rsid w:val="001C58DD"/>
    <w:rsid w:val="001C58DF"/>
    <w:rsid w:val="001C592C"/>
    <w:rsid w:val="001C5E23"/>
    <w:rsid w:val="001C60EA"/>
    <w:rsid w:val="001C635C"/>
    <w:rsid w:val="001C653E"/>
    <w:rsid w:val="001C6965"/>
    <w:rsid w:val="001C6A5F"/>
    <w:rsid w:val="001C6FC2"/>
    <w:rsid w:val="001C740A"/>
    <w:rsid w:val="001C76F6"/>
    <w:rsid w:val="001C77D7"/>
    <w:rsid w:val="001C78CE"/>
    <w:rsid w:val="001C78DE"/>
    <w:rsid w:val="001C79B7"/>
    <w:rsid w:val="001C7DD2"/>
    <w:rsid w:val="001D02CB"/>
    <w:rsid w:val="001D0461"/>
    <w:rsid w:val="001D06E6"/>
    <w:rsid w:val="001D0813"/>
    <w:rsid w:val="001D0EF8"/>
    <w:rsid w:val="001D1015"/>
    <w:rsid w:val="001D1D64"/>
    <w:rsid w:val="001D2044"/>
    <w:rsid w:val="001D2188"/>
    <w:rsid w:val="001D269C"/>
    <w:rsid w:val="001D3200"/>
    <w:rsid w:val="001D3204"/>
    <w:rsid w:val="001D3280"/>
    <w:rsid w:val="001D35B8"/>
    <w:rsid w:val="001D3761"/>
    <w:rsid w:val="001D390C"/>
    <w:rsid w:val="001D3B55"/>
    <w:rsid w:val="001D3B85"/>
    <w:rsid w:val="001D3F41"/>
    <w:rsid w:val="001D4071"/>
    <w:rsid w:val="001D4129"/>
    <w:rsid w:val="001D427F"/>
    <w:rsid w:val="001D4771"/>
    <w:rsid w:val="001D4A02"/>
    <w:rsid w:val="001D4E2A"/>
    <w:rsid w:val="001D52EE"/>
    <w:rsid w:val="001D5364"/>
    <w:rsid w:val="001D5466"/>
    <w:rsid w:val="001D547C"/>
    <w:rsid w:val="001D54D5"/>
    <w:rsid w:val="001D553C"/>
    <w:rsid w:val="001D561C"/>
    <w:rsid w:val="001D5847"/>
    <w:rsid w:val="001D5A42"/>
    <w:rsid w:val="001D5BB1"/>
    <w:rsid w:val="001D5E3B"/>
    <w:rsid w:val="001D614B"/>
    <w:rsid w:val="001D630F"/>
    <w:rsid w:val="001D65E8"/>
    <w:rsid w:val="001D68C4"/>
    <w:rsid w:val="001D6A77"/>
    <w:rsid w:val="001D6B3F"/>
    <w:rsid w:val="001D6C35"/>
    <w:rsid w:val="001D6E49"/>
    <w:rsid w:val="001D7356"/>
    <w:rsid w:val="001D74B4"/>
    <w:rsid w:val="001D77B0"/>
    <w:rsid w:val="001D7CE1"/>
    <w:rsid w:val="001E07A2"/>
    <w:rsid w:val="001E086F"/>
    <w:rsid w:val="001E0BEC"/>
    <w:rsid w:val="001E0C81"/>
    <w:rsid w:val="001E1406"/>
    <w:rsid w:val="001E1B58"/>
    <w:rsid w:val="001E1D82"/>
    <w:rsid w:val="001E1E0D"/>
    <w:rsid w:val="001E224D"/>
    <w:rsid w:val="001E24DF"/>
    <w:rsid w:val="001E2DC7"/>
    <w:rsid w:val="001E2F29"/>
    <w:rsid w:val="001E30DF"/>
    <w:rsid w:val="001E33A1"/>
    <w:rsid w:val="001E353F"/>
    <w:rsid w:val="001E354A"/>
    <w:rsid w:val="001E3A09"/>
    <w:rsid w:val="001E3CB0"/>
    <w:rsid w:val="001E4122"/>
    <w:rsid w:val="001E429B"/>
    <w:rsid w:val="001E46F1"/>
    <w:rsid w:val="001E47EE"/>
    <w:rsid w:val="001E5401"/>
    <w:rsid w:val="001E635A"/>
    <w:rsid w:val="001E63E9"/>
    <w:rsid w:val="001E65ED"/>
    <w:rsid w:val="001E68B0"/>
    <w:rsid w:val="001E6A12"/>
    <w:rsid w:val="001E6D04"/>
    <w:rsid w:val="001E6D6C"/>
    <w:rsid w:val="001E6E65"/>
    <w:rsid w:val="001E7887"/>
    <w:rsid w:val="001E7918"/>
    <w:rsid w:val="001E79B1"/>
    <w:rsid w:val="001E7FA8"/>
    <w:rsid w:val="001F02EF"/>
    <w:rsid w:val="001F0485"/>
    <w:rsid w:val="001F0ADD"/>
    <w:rsid w:val="001F0AF3"/>
    <w:rsid w:val="001F0B47"/>
    <w:rsid w:val="001F0D42"/>
    <w:rsid w:val="001F11C1"/>
    <w:rsid w:val="001F128B"/>
    <w:rsid w:val="001F16EC"/>
    <w:rsid w:val="001F1A09"/>
    <w:rsid w:val="001F1A27"/>
    <w:rsid w:val="001F1C69"/>
    <w:rsid w:val="001F200E"/>
    <w:rsid w:val="001F2535"/>
    <w:rsid w:val="001F25D8"/>
    <w:rsid w:val="001F25DB"/>
    <w:rsid w:val="001F2687"/>
    <w:rsid w:val="001F26C4"/>
    <w:rsid w:val="001F3027"/>
    <w:rsid w:val="001F3768"/>
    <w:rsid w:val="001F37D2"/>
    <w:rsid w:val="001F3C20"/>
    <w:rsid w:val="001F3CF5"/>
    <w:rsid w:val="001F4102"/>
    <w:rsid w:val="001F4245"/>
    <w:rsid w:val="001F436C"/>
    <w:rsid w:val="001F47BE"/>
    <w:rsid w:val="001F4B78"/>
    <w:rsid w:val="001F4CA2"/>
    <w:rsid w:val="001F4FBC"/>
    <w:rsid w:val="001F5069"/>
    <w:rsid w:val="001F50D5"/>
    <w:rsid w:val="001F52D5"/>
    <w:rsid w:val="001F5307"/>
    <w:rsid w:val="001F54A1"/>
    <w:rsid w:val="001F55DC"/>
    <w:rsid w:val="001F57C4"/>
    <w:rsid w:val="001F5A11"/>
    <w:rsid w:val="001F5FFF"/>
    <w:rsid w:val="001F6A7D"/>
    <w:rsid w:val="001F6E41"/>
    <w:rsid w:val="001F6E81"/>
    <w:rsid w:val="001F70A9"/>
    <w:rsid w:val="001F72F7"/>
    <w:rsid w:val="001F75BA"/>
    <w:rsid w:val="001F77F7"/>
    <w:rsid w:val="001F7939"/>
    <w:rsid w:val="001F7D37"/>
    <w:rsid w:val="001FD70F"/>
    <w:rsid w:val="00200102"/>
    <w:rsid w:val="00200437"/>
    <w:rsid w:val="002006B5"/>
    <w:rsid w:val="00200953"/>
    <w:rsid w:val="00200961"/>
    <w:rsid w:val="00200A50"/>
    <w:rsid w:val="00200B0C"/>
    <w:rsid w:val="00200B5F"/>
    <w:rsid w:val="00200C60"/>
    <w:rsid w:val="00200C82"/>
    <w:rsid w:val="00200ECE"/>
    <w:rsid w:val="002013D7"/>
    <w:rsid w:val="00201428"/>
    <w:rsid w:val="00201620"/>
    <w:rsid w:val="002020F6"/>
    <w:rsid w:val="00202AA9"/>
    <w:rsid w:val="00202DFC"/>
    <w:rsid w:val="00203C3D"/>
    <w:rsid w:val="002040C9"/>
    <w:rsid w:val="00204239"/>
    <w:rsid w:val="00204489"/>
    <w:rsid w:val="0020468C"/>
    <w:rsid w:val="002046D5"/>
    <w:rsid w:val="00204719"/>
    <w:rsid w:val="00204898"/>
    <w:rsid w:val="00204954"/>
    <w:rsid w:val="00204FB1"/>
    <w:rsid w:val="0020529E"/>
    <w:rsid w:val="0020540A"/>
    <w:rsid w:val="002055BE"/>
    <w:rsid w:val="002055D6"/>
    <w:rsid w:val="0020593D"/>
    <w:rsid w:val="00205B2E"/>
    <w:rsid w:val="00206371"/>
    <w:rsid w:val="00206462"/>
    <w:rsid w:val="00206A6D"/>
    <w:rsid w:val="00207367"/>
    <w:rsid w:val="00207883"/>
    <w:rsid w:val="00207940"/>
    <w:rsid w:val="00207B48"/>
    <w:rsid w:val="00207C6A"/>
    <w:rsid w:val="00207D25"/>
    <w:rsid w:val="00210435"/>
    <w:rsid w:val="00210E80"/>
    <w:rsid w:val="00210E8F"/>
    <w:rsid w:val="00210EF1"/>
    <w:rsid w:val="00211397"/>
    <w:rsid w:val="002117BD"/>
    <w:rsid w:val="00211825"/>
    <w:rsid w:val="00211A26"/>
    <w:rsid w:val="00211B1E"/>
    <w:rsid w:val="00211B9E"/>
    <w:rsid w:val="00211EDC"/>
    <w:rsid w:val="00211F47"/>
    <w:rsid w:val="002125B9"/>
    <w:rsid w:val="002129CA"/>
    <w:rsid w:val="00213162"/>
    <w:rsid w:val="002135C2"/>
    <w:rsid w:val="00213E4A"/>
    <w:rsid w:val="00213F8D"/>
    <w:rsid w:val="0021407C"/>
    <w:rsid w:val="00214208"/>
    <w:rsid w:val="00214764"/>
    <w:rsid w:val="002147F3"/>
    <w:rsid w:val="00214C33"/>
    <w:rsid w:val="00215454"/>
    <w:rsid w:val="00215EA5"/>
    <w:rsid w:val="0021607D"/>
    <w:rsid w:val="002160CE"/>
    <w:rsid w:val="002161CA"/>
    <w:rsid w:val="00216672"/>
    <w:rsid w:val="0021701E"/>
    <w:rsid w:val="0021755F"/>
    <w:rsid w:val="002175BE"/>
    <w:rsid w:val="00217611"/>
    <w:rsid w:val="00217806"/>
    <w:rsid w:val="00217B69"/>
    <w:rsid w:val="00217F6A"/>
    <w:rsid w:val="002203D1"/>
    <w:rsid w:val="0022075C"/>
    <w:rsid w:val="0022076D"/>
    <w:rsid w:val="00220A91"/>
    <w:rsid w:val="00220F52"/>
    <w:rsid w:val="002210D0"/>
    <w:rsid w:val="002218B7"/>
    <w:rsid w:val="00222124"/>
    <w:rsid w:val="0022216B"/>
    <w:rsid w:val="002223C1"/>
    <w:rsid w:val="002226C9"/>
    <w:rsid w:val="00222746"/>
    <w:rsid w:val="0022292C"/>
    <w:rsid w:val="00222AC8"/>
    <w:rsid w:val="00222D68"/>
    <w:rsid w:val="00222D88"/>
    <w:rsid w:val="00222DAC"/>
    <w:rsid w:val="002234A6"/>
    <w:rsid w:val="00223BCB"/>
    <w:rsid w:val="00223FCD"/>
    <w:rsid w:val="00224E69"/>
    <w:rsid w:val="00225570"/>
    <w:rsid w:val="00225592"/>
    <w:rsid w:val="00225A82"/>
    <w:rsid w:val="00225E61"/>
    <w:rsid w:val="0022610D"/>
    <w:rsid w:val="00226A3A"/>
    <w:rsid w:val="00226ACF"/>
    <w:rsid w:val="00226DF2"/>
    <w:rsid w:val="002272E0"/>
    <w:rsid w:val="0022757F"/>
    <w:rsid w:val="00227C02"/>
    <w:rsid w:val="00227F87"/>
    <w:rsid w:val="0023001D"/>
    <w:rsid w:val="00230091"/>
    <w:rsid w:val="00230136"/>
    <w:rsid w:val="002303D0"/>
    <w:rsid w:val="002306BD"/>
    <w:rsid w:val="00231FA2"/>
    <w:rsid w:val="00232049"/>
    <w:rsid w:val="0023212C"/>
    <w:rsid w:val="00232167"/>
    <w:rsid w:val="00232419"/>
    <w:rsid w:val="00232590"/>
    <w:rsid w:val="002327E4"/>
    <w:rsid w:val="002328C2"/>
    <w:rsid w:val="002328FA"/>
    <w:rsid w:val="00232BB0"/>
    <w:rsid w:val="00232DA7"/>
    <w:rsid w:val="002330DF"/>
    <w:rsid w:val="002330FE"/>
    <w:rsid w:val="00233279"/>
    <w:rsid w:val="00233426"/>
    <w:rsid w:val="00233637"/>
    <w:rsid w:val="00233C84"/>
    <w:rsid w:val="00233D69"/>
    <w:rsid w:val="0023428B"/>
    <w:rsid w:val="00234755"/>
    <w:rsid w:val="002349DC"/>
    <w:rsid w:val="00234DF0"/>
    <w:rsid w:val="00235239"/>
    <w:rsid w:val="002352CB"/>
    <w:rsid w:val="00235570"/>
    <w:rsid w:val="00235A5F"/>
    <w:rsid w:val="002363B5"/>
    <w:rsid w:val="00236801"/>
    <w:rsid w:val="00236F37"/>
    <w:rsid w:val="00237240"/>
    <w:rsid w:val="00237679"/>
    <w:rsid w:val="00237ED6"/>
    <w:rsid w:val="0023801C"/>
    <w:rsid w:val="0023E0EC"/>
    <w:rsid w:val="00240150"/>
    <w:rsid w:val="002401A0"/>
    <w:rsid w:val="0024027E"/>
    <w:rsid w:val="002403CC"/>
    <w:rsid w:val="002404E1"/>
    <w:rsid w:val="002404EB"/>
    <w:rsid w:val="00240E32"/>
    <w:rsid w:val="00240E69"/>
    <w:rsid w:val="00240E7A"/>
    <w:rsid w:val="00240EE6"/>
    <w:rsid w:val="002415BC"/>
    <w:rsid w:val="002416B2"/>
    <w:rsid w:val="00241BD2"/>
    <w:rsid w:val="00241BE4"/>
    <w:rsid w:val="00241CDA"/>
    <w:rsid w:val="00242214"/>
    <w:rsid w:val="00242897"/>
    <w:rsid w:val="00242ABC"/>
    <w:rsid w:val="00242DCD"/>
    <w:rsid w:val="00242E2D"/>
    <w:rsid w:val="0024319C"/>
    <w:rsid w:val="002432A8"/>
    <w:rsid w:val="002432B8"/>
    <w:rsid w:val="0024331F"/>
    <w:rsid w:val="00243864"/>
    <w:rsid w:val="002438B0"/>
    <w:rsid w:val="002439B5"/>
    <w:rsid w:val="00243A05"/>
    <w:rsid w:val="00243D70"/>
    <w:rsid w:val="00243E7B"/>
    <w:rsid w:val="00244604"/>
    <w:rsid w:val="0024460B"/>
    <w:rsid w:val="0024479E"/>
    <w:rsid w:val="00244965"/>
    <w:rsid w:val="00244BD3"/>
    <w:rsid w:val="00244C48"/>
    <w:rsid w:val="00244CB7"/>
    <w:rsid w:val="00244D9D"/>
    <w:rsid w:val="00244E13"/>
    <w:rsid w:val="00245566"/>
    <w:rsid w:val="00245978"/>
    <w:rsid w:val="0024627C"/>
    <w:rsid w:val="002462E2"/>
    <w:rsid w:val="002468EE"/>
    <w:rsid w:val="00246D3C"/>
    <w:rsid w:val="002471B6"/>
    <w:rsid w:val="00247405"/>
    <w:rsid w:val="0024791B"/>
    <w:rsid w:val="00247B32"/>
    <w:rsid w:val="00250020"/>
    <w:rsid w:val="00250148"/>
    <w:rsid w:val="00250278"/>
    <w:rsid w:val="002502B9"/>
    <w:rsid w:val="00250942"/>
    <w:rsid w:val="00250CC4"/>
    <w:rsid w:val="00250E5F"/>
    <w:rsid w:val="002512DF"/>
    <w:rsid w:val="002516E4"/>
    <w:rsid w:val="0025178C"/>
    <w:rsid w:val="002517B4"/>
    <w:rsid w:val="00251A32"/>
    <w:rsid w:val="00251C82"/>
    <w:rsid w:val="00251D5A"/>
    <w:rsid w:val="00251F65"/>
    <w:rsid w:val="00251FA7"/>
    <w:rsid w:val="002527A2"/>
    <w:rsid w:val="00252847"/>
    <w:rsid w:val="002529F4"/>
    <w:rsid w:val="00252AB7"/>
    <w:rsid w:val="00252DBD"/>
    <w:rsid w:val="00252EC0"/>
    <w:rsid w:val="00252EEE"/>
    <w:rsid w:val="00252F0A"/>
    <w:rsid w:val="0025326A"/>
    <w:rsid w:val="00253301"/>
    <w:rsid w:val="002534E7"/>
    <w:rsid w:val="0025357E"/>
    <w:rsid w:val="0025358F"/>
    <w:rsid w:val="0025371A"/>
    <w:rsid w:val="00253FAA"/>
    <w:rsid w:val="002540DA"/>
    <w:rsid w:val="00254170"/>
    <w:rsid w:val="0025457F"/>
    <w:rsid w:val="00254952"/>
    <w:rsid w:val="00254D75"/>
    <w:rsid w:val="00254D80"/>
    <w:rsid w:val="002550D2"/>
    <w:rsid w:val="00255513"/>
    <w:rsid w:val="00255534"/>
    <w:rsid w:val="00255854"/>
    <w:rsid w:val="002558E7"/>
    <w:rsid w:val="002559E4"/>
    <w:rsid w:val="00255E76"/>
    <w:rsid w:val="00255EE6"/>
    <w:rsid w:val="00255F6B"/>
    <w:rsid w:val="0025615A"/>
    <w:rsid w:val="0025636F"/>
    <w:rsid w:val="002564B4"/>
    <w:rsid w:val="00256D67"/>
    <w:rsid w:val="00257939"/>
    <w:rsid w:val="00257B61"/>
    <w:rsid w:val="00257D01"/>
    <w:rsid w:val="00257D7B"/>
    <w:rsid w:val="00260116"/>
    <w:rsid w:val="0026043A"/>
    <w:rsid w:val="00260462"/>
    <w:rsid w:val="002608BD"/>
    <w:rsid w:val="00260CA6"/>
    <w:rsid w:val="002613AE"/>
    <w:rsid w:val="0026171A"/>
    <w:rsid w:val="00261AA6"/>
    <w:rsid w:val="00261AD4"/>
    <w:rsid w:val="00261BB8"/>
    <w:rsid w:val="00261D63"/>
    <w:rsid w:val="0026214D"/>
    <w:rsid w:val="0026256A"/>
    <w:rsid w:val="0026269A"/>
    <w:rsid w:val="00262760"/>
    <w:rsid w:val="002628B8"/>
    <w:rsid w:val="002628D4"/>
    <w:rsid w:val="00262973"/>
    <w:rsid w:val="00262BD0"/>
    <w:rsid w:val="00262D59"/>
    <w:rsid w:val="002632DF"/>
    <w:rsid w:val="0026350A"/>
    <w:rsid w:val="00263527"/>
    <w:rsid w:val="002639E3"/>
    <w:rsid w:val="002639F7"/>
    <w:rsid w:val="00263A13"/>
    <w:rsid w:val="00263B7A"/>
    <w:rsid w:val="00263C5E"/>
    <w:rsid w:val="00264236"/>
    <w:rsid w:val="0026446B"/>
    <w:rsid w:val="002646C5"/>
    <w:rsid w:val="00264884"/>
    <w:rsid w:val="002649D4"/>
    <w:rsid w:val="00264A59"/>
    <w:rsid w:val="00264AAD"/>
    <w:rsid w:val="00264CA1"/>
    <w:rsid w:val="00265089"/>
    <w:rsid w:val="002655FE"/>
    <w:rsid w:val="00265640"/>
    <w:rsid w:val="002658D0"/>
    <w:rsid w:val="002659BE"/>
    <w:rsid w:val="00265A27"/>
    <w:rsid w:val="00265B79"/>
    <w:rsid w:val="00265C0A"/>
    <w:rsid w:val="00265C7D"/>
    <w:rsid w:val="00265EDD"/>
    <w:rsid w:val="00265F4A"/>
    <w:rsid w:val="00265FD4"/>
    <w:rsid w:val="0026660D"/>
    <w:rsid w:val="00266705"/>
    <w:rsid w:val="00266BC1"/>
    <w:rsid w:val="00266F78"/>
    <w:rsid w:val="00266F7A"/>
    <w:rsid w:val="0026767F"/>
    <w:rsid w:val="0026795B"/>
    <w:rsid w:val="002679A0"/>
    <w:rsid w:val="00267BB8"/>
    <w:rsid w:val="00267BF9"/>
    <w:rsid w:val="00267D0D"/>
    <w:rsid w:val="00267D46"/>
    <w:rsid w:val="00267E91"/>
    <w:rsid w:val="00267E95"/>
    <w:rsid w:val="002701A6"/>
    <w:rsid w:val="0027024E"/>
    <w:rsid w:val="002702C3"/>
    <w:rsid w:val="002705B9"/>
    <w:rsid w:val="0027071B"/>
    <w:rsid w:val="00270828"/>
    <w:rsid w:val="00270A8B"/>
    <w:rsid w:val="00270C04"/>
    <w:rsid w:val="00270CAE"/>
    <w:rsid w:val="00270CE6"/>
    <w:rsid w:val="00270E18"/>
    <w:rsid w:val="0027104D"/>
    <w:rsid w:val="0027138A"/>
    <w:rsid w:val="00271544"/>
    <w:rsid w:val="0027180B"/>
    <w:rsid w:val="00271FE8"/>
    <w:rsid w:val="002721C1"/>
    <w:rsid w:val="00272426"/>
    <w:rsid w:val="00272698"/>
    <w:rsid w:val="00272D85"/>
    <w:rsid w:val="00273288"/>
    <w:rsid w:val="0027361F"/>
    <w:rsid w:val="002738F3"/>
    <w:rsid w:val="002744A0"/>
    <w:rsid w:val="0027450B"/>
    <w:rsid w:val="0027473A"/>
    <w:rsid w:val="002748EC"/>
    <w:rsid w:val="002749AE"/>
    <w:rsid w:val="00274B15"/>
    <w:rsid w:val="00274B20"/>
    <w:rsid w:val="00274FA3"/>
    <w:rsid w:val="002753D8"/>
    <w:rsid w:val="0027583A"/>
    <w:rsid w:val="00275E48"/>
    <w:rsid w:val="00276260"/>
    <w:rsid w:val="002764C9"/>
    <w:rsid w:val="0027662A"/>
    <w:rsid w:val="00276919"/>
    <w:rsid w:val="002769B2"/>
    <w:rsid w:val="00276A17"/>
    <w:rsid w:val="00276C1F"/>
    <w:rsid w:val="00276CFD"/>
    <w:rsid w:val="00277018"/>
    <w:rsid w:val="0027735E"/>
    <w:rsid w:val="0027738D"/>
    <w:rsid w:val="00277C1D"/>
    <w:rsid w:val="0028058A"/>
    <w:rsid w:val="00280C61"/>
    <w:rsid w:val="0028100B"/>
    <w:rsid w:val="00281130"/>
    <w:rsid w:val="0028180B"/>
    <w:rsid w:val="00281A2C"/>
    <w:rsid w:val="00281A30"/>
    <w:rsid w:val="00281A6C"/>
    <w:rsid w:val="00281B26"/>
    <w:rsid w:val="00282019"/>
    <w:rsid w:val="002821C0"/>
    <w:rsid w:val="002821D6"/>
    <w:rsid w:val="0028232B"/>
    <w:rsid w:val="002823C8"/>
    <w:rsid w:val="00282588"/>
    <w:rsid w:val="00282D44"/>
    <w:rsid w:val="00282F87"/>
    <w:rsid w:val="002832D8"/>
    <w:rsid w:val="00283626"/>
    <w:rsid w:val="002836F3"/>
    <w:rsid w:val="00283857"/>
    <w:rsid w:val="00283A26"/>
    <w:rsid w:val="00283C24"/>
    <w:rsid w:val="00283C4B"/>
    <w:rsid w:val="002840C1"/>
    <w:rsid w:val="0028416F"/>
    <w:rsid w:val="0028442E"/>
    <w:rsid w:val="002845B8"/>
    <w:rsid w:val="0028477F"/>
    <w:rsid w:val="002847E7"/>
    <w:rsid w:val="0028485A"/>
    <w:rsid w:val="00284A4C"/>
    <w:rsid w:val="00285121"/>
    <w:rsid w:val="0028593E"/>
    <w:rsid w:val="00285E5D"/>
    <w:rsid w:val="0028614C"/>
    <w:rsid w:val="00286260"/>
    <w:rsid w:val="00286605"/>
    <w:rsid w:val="00286A92"/>
    <w:rsid w:val="00286EB5"/>
    <w:rsid w:val="00286FDE"/>
    <w:rsid w:val="00287343"/>
    <w:rsid w:val="0028762E"/>
    <w:rsid w:val="0028793D"/>
    <w:rsid w:val="00287BD1"/>
    <w:rsid w:val="00287F1F"/>
    <w:rsid w:val="0029009A"/>
    <w:rsid w:val="00290130"/>
    <w:rsid w:val="002901DE"/>
    <w:rsid w:val="00290686"/>
    <w:rsid w:val="00290EB7"/>
    <w:rsid w:val="00290F4E"/>
    <w:rsid w:val="00290F9F"/>
    <w:rsid w:val="00290FD8"/>
    <w:rsid w:val="002911D7"/>
    <w:rsid w:val="0029137F"/>
    <w:rsid w:val="002915EB"/>
    <w:rsid w:val="00291794"/>
    <w:rsid w:val="002917F4"/>
    <w:rsid w:val="0029193C"/>
    <w:rsid w:val="00291984"/>
    <w:rsid w:val="00291A5F"/>
    <w:rsid w:val="00291B8A"/>
    <w:rsid w:val="00291D0F"/>
    <w:rsid w:val="00291E45"/>
    <w:rsid w:val="00291E5B"/>
    <w:rsid w:val="00292359"/>
    <w:rsid w:val="002926B8"/>
    <w:rsid w:val="002926D8"/>
    <w:rsid w:val="00292830"/>
    <w:rsid w:val="00292854"/>
    <w:rsid w:val="002928A2"/>
    <w:rsid w:val="00292AD0"/>
    <w:rsid w:val="0029307C"/>
    <w:rsid w:val="00293833"/>
    <w:rsid w:val="00293A95"/>
    <w:rsid w:val="00293AC8"/>
    <w:rsid w:val="00293E6C"/>
    <w:rsid w:val="00293E9F"/>
    <w:rsid w:val="00293F5E"/>
    <w:rsid w:val="00294876"/>
    <w:rsid w:val="00294BF4"/>
    <w:rsid w:val="00294CCD"/>
    <w:rsid w:val="002951A5"/>
    <w:rsid w:val="00295260"/>
    <w:rsid w:val="00295C5D"/>
    <w:rsid w:val="00295EE7"/>
    <w:rsid w:val="0029628A"/>
    <w:rsid w:val="002965E9"/>
    <w:rsid w:val="0029684C"/>
    <w:rsid w:val="002968C4"/>
    <w:rsid w:val="00296E4C"/>
    <w:rsid w:val="002971C0"/>
    <w:rsid w:val="002976BE"/>
    <w:rsid w:val="0029788B"/>
    <w:rsid w:val="00297C53"/>
    <w:rsid w:val="002A08C7"/>
    <w:rsid w:val="002A0D62"/>
    <w:rsid w:val="002A1035"/>
    <w:rsid w:val="002A11D5"/>
    <w:rsid w:val="002A14C0"/>
    <w:rsid w:val="002A1510"/>
    <w:rsid w:val="002A1591"/>
    <w:rsid w:val="002A15B0"/>
    <w:rsid w:val="002A1750"/>
    <w:rsid w:val="002A1AF3"/>
    <w:rsid w:val="002A2089"/>
    <w:rsid w:val="002A2509"/>
    <w:rsid w:val="002A2620"/>
    <w:rsid w:val="002A2B80"/>
    <w:rsid w:val="002A2CA3"/>
    <w:rsid w:val="002A2D90"/>
    <w:rsid w:val="002A3004"/>
    <w:rsid w:val="002A3176"/>
    <w:rsid w:val="002A339F"/>
    <w:rsid w:val="002A34C6"/>
    <w:rsid w:val="002A373E"/>
    <w:rsid w:val="002A3798"/>
    <w:rsid w:val="002A3A65"/>
    <w:rsid w:val="002A3D5C"/>
    <w:rsid w:val="002A3FC8"/>
    <w:rsid w:val="002A4100"/>
    <w:rsid w:val="002A41B9"/>
    <w:rsid w:val="002A43DA"/>
    <w:rsid w:val="002A47BC"/>
    <w:rsid w:val="002A481E"/>
    <w:rsid w:val="002A49F1"/>
    <w:rsid w:val="002A4A04"/>
    <w:rsid w:val="002A4DA4"/>
    <w:rsid w:val="002A4E53"/>
    <w:rsid w:val="002A4F0F"/>
    <w:rsid w:val="002A4F84"/>
    <w:rsid w:val="002A5003"/>
    <w:rsid w:val="002A5080"/>
    <w:rsid w:val="002A5240"/>
    <w:rsid w:val="002A554E"/>
    <w:rsid w:val="002A56E7"/>
    <w:rsid w:val="002A5949"/>
    <w:rsid w:val="002A5BE5"/>
    <w:rsid w:val="002A5D64"/>
    <w:rsid w:val="002A5D7B"/>
    <w:rsid w:val="002A5DEC"/>
    <w:rsid w:val="002A63E0"/>
    <w:rsid w:val="002A6E68"/>
    <w:rsid w:val="002A6F2E"/>
    <w:rsid w:val="002A6F62"/>
    <w:rsid w:val="002A7327"/>
    <w:rsid w:val="002A754D"/>
    <w:rsid w:val="002A7735"/>
    <w:rsid w:val="002A7F1A"/>
    <w:rsid w:val="002B053D"/>
    <w:rsid w:val="002B0756"/>
    <w:rsid w:val="002B0AA6"/>
    <w:rsid w:val="002B0B3F"/>
    <w:rsid w:val="002B0CFB"/>
    <w:rsid w:val="002B19A8"/>
    <w:rsid w:val="002B1D37"/>
    <w:rsid w:val="002B24C1"/>
    <w:rsid w:val="002B2675"/>
    <w:rsid w:val="002B270C"/>
    <w:rsid w:val="002B3190"/>
    <w:rsid w:val="002B3388"/>
    <w:rsid w:val="002B33F1"/>
    <w:rsid w:val="002B3459"/>
    <w:rsid w:val="002B348E"/>
    <w:rsid w:val="002B37CE"/>
    <w:rsid w:val="002B3985"/>
    <w:rsid w:val="002B3AD8"/>
    <w:rsid w:val="002B3C54"/>
    <w:rsid w:val="002B3CAF"/>
    <w:rsid w:val="002B3EC6"/>
    <w:rsid w:val="002B3F4A"/>
    <w:rsid w:val="002B4149"/>
    <w:rsid w:val="002B4187"/>
    <w:rsid w:val="002B49B2"/>
    <w:rsid w:val="002B4B87"/>
    <w:rsid w:val="002B4D18"/>
    <w:rsid w:val="002B4EDD"/>
    <w:rsid w:val="002B57DA"/>
    <w:rsid w:val="002B58E2"/>
    <w:rsid w:val="002B5BD8"/>
    <w:rsid w:val="002B5C0A"/>
    <w:rsid w:val="002B63A6"/>
    <w:rsid w:val="002B6682"/>
    <w:rsid w:val="002B7067"/>
    <w:rsid w:val="002B7159"/>
    <w:rsid w:val="002B732F"/>
    <w:rsid w:val="002B78C3"/>
    <w:rsid w:val="002B7C13"/>
    <w:rsid w:val="002B7D08"/>
    <w:rsid w:val="002C0127"/>
    <w:rsid w:val="002C08DA"/>
    <w:rsid w:val="002C0CBB"/>
    <w:rsid w:val="002C0CD0"/>
    <w:rsid w:val="002C0E8A"/>
    <w:rsid w:val="002C0E8D"/>
    <w:rsid w:val="002C121E"/>
    <w:rsid w:val="002C166C"/>
    <w:rsid w:val="002C1808"/>
    <w:rsid w:val="002C1FDD"/>
    <w:rsid w:val="002C20C4"/>
    <w:rsid w:val="002C2C14"/>
    <w:rsid w:val="002C2F98"/>
    <w:rsid w:val="002C344B"/>
    <w:rsid w:val="002C34E2"/>
    <w:rsid w:val="002C3500"/>
    <w:rsid w:val="002C3559"/>
    <w:rsid w:val="002C39A5"/>
    <w:rsid w:val="002C3BC4"/>
    <w:rsid w:val="002C3C13"/>
    <w:rsid w:val="002C3DC9"/>
    <w:rsid w:val="002C3DFE"/>
    <w:rsid w:val="002C3EA1"/>
    <w:rsid w:val="002C4037"/>
    <w:rsid w:val="002C449A"/>
    <w:rsid w:val="002C4B69"/>
    <w:rsid w:val="002C4C12"/>
    <w:rsid w:val="002C4D15"/>
    <w:rsid w:val="002C4DE1"/>
    <w:rsid w:val="002C4E3D"/>
    <w:rsid w:val="002C509F"/>
    <w:rsid w:val="002C5329"/>
    <w:rsid w:val="002C53BD"/>
    <w:rsid w:val="002C551D"/>
    <w:rsid w:val="002C5E81"/>
    <w:rsid w:val="002C6196"/>
    <w:rsid w:val="002C63CF"/>
    <w:rsid w:val="002C66A3"/>
    <w:rsid w:val="002C6B64"/>
    <w:rsid w:val="002C6B74"/>
    <w:rsid w:val="002C6E29"/>
    <w:rsid w:val="002C7001"/>
    <w:rsid w:val="002C7172"/>
    <w:rsid w:val="002C7323"/>
    <w:rsid w:val="002C74CB"/>
    <w:rsid w:val="002C78AC"/>
    <w:rsid w:val="002C7B4B"/>
    <w:rsid w:val="002C7C3D"/>
    <w:rsid w:val="002D022F"/>
    <w:rsid w:val="002D02A8"/>
    <w:rsid w:val="002D033B"/>
    <w:rsid w:val="002D0563"/>
    <w:rsid w:val="002D0C97"/>
    <w:rsid w:val="002D1178"/>
    <w:rsid w:val="002D125B"/>
    <w:rsid w:val="002D15C2"/>
    <w:rsid w:val="002D15FA"/>
    <w:rsid w:val="002D1605"/>
    <w:rsid w:val="002D17A7"/>
    <w:rsid w:val="002D1A6A"/>
    <w:rsid w:val="002D1E3C"/>
    <w:rsid w:val="002D1FA8"/>
    <w:rsid w:val="002D2438"/>
    <w:rsid w:val="002D258E"/>
    <w:rsid w:val="002D2757"/>
    <w:rsid w:val="002D2844"/>
    <w:rsid w:val="002D28DE"/>
    <w:rsid w:val="002D2A03"/>
    <w:rsid w:val="002D2A13"/>
    <w:rsid w:val="002D2A28"/>
    <w:rsid w:val="002D2B55"/>
    <w:rsid w:val="002D2CA2"/>
    <w:rsid w:val="002D2FB5"/>
    <w:rsid w:val="002D30EC"/>
    <w:rsid w:val="002D30F5"/>
    <w:rsid w:val="002D31DF"/>
    <w:rsid w:val="002D3381"/>
    <w:rsid w:val="002D34CF"/>
    <w:rsid w:val="002D373C"/>
    <w:rsid w:val="002D3CCA"/>
    <w:rsid w:val="002D43CA"/>
    <w:rsid w:val="002D4410"/>
    <w:rsid w:val="002D4548"/>
    <w:rsid w:val="002D45A9"/>
    <w:rsid w:val="002D45F7"/>
    <w:rsid w:val="002D4A29"/>
    <w:rsid w:val="002D4C0D"/>
    <w:rsid w:val="002D4D09"/>
    <w:rsid w:val="002D4D34"/>
    <w:rsid w:val="002D4DE8"/>
    <w:rsid w:val="002D591B"/>
    <w:rsid w:val="002D5A0C"/>
    <w:rsid w:val="002D5E28"/>
    <w:rsid w:val="002D6220"/>
    <w:rsid w:val="002D6230"/>
    <w:rsid w:val="002D62A1"/>
    <w:rsid w:val="002D6328"/>
    <w:rsid w:val="002D633A"/>
    <w:rsid w:val="002D678D"/>
    <w:rsid w:val="002D6A3B"/>
    <w:rsid w:val="002D6A9D"/>
    <w:rsid w:val="002D6F2C"/>
    <w:rsid w:val="002D702B"/>
    <w:rsid w:val="002D72BC"/>
    <w:rsid w:val="002D7322"/>
    <w:rsid w:val="002D755A"/>
    <w:rsid w:val="002D7876"/>
    <w:rsid w:val="002D7A67"/>
    <w:rsid w:val="002D7ED1"/>
    <w:rsid w:val="002DF421"/>
    <w:rsid w:val="002E0141"/>
    <w:rsid w:val="002E0406"/>
    <w:rsid w:val="002E0519"/>
    <w:rsid w:val="002E057C"/>
    <w:rsid w:val="002E05A2"/>
    <w:rsid w:val="002E069F"/>
    <w:rsid w:val="002E0A47"/>
    <w:rsid w:val="002E0A71"/>
    <w:rsid w:val="002E0AEB"/>
    <w:rsid w:val="002E0BA9"/>
    <w:rsid w:val="002E0E6D"/>
    <w:rsid w:val="002E0E7F"/>
    <w:rsid w:val="002E10B8"/>
    <w:rsid w:val="002E1A92"/>
    <w:rsid w:val="002E1C79"/>
    <w:rsid w:val="002E1F98"/>
    <w:rsid w:val="002E21A1"/>
    <w:rsid w:val="002E2304"/>
    <w:rsid w:val="002E27DB"/>
    <w:rsid w:val="002E2823"/>
    <w:rsid w:val="002E29FB"/>
    <w:rsid w:val="002E2ABC"/>
    <w:rsid w:val="002E2EFB"/>
    <w:rsid w:val="002E3147"/>
    <w:rsid w:val="002E33AF"/>
    <w:rsid w:val="002E3DE7"/>
    <w:rsid w:val="002E3E6B"/>
    <w:rsid w:val="002E4039"/>
    <w:rsid w:val="002E414F"/>
    <w:rsid w:val="002E4304"/>
    <w:rsid w:val="002E47CF"/>
    <w:rsid w:val="002E486F"/>
    <w:rsid w:val="002E495A"/>
    <w:rsid w:val="002E536A"/>
    <w:rsid w:val="002E5477"/>
    <w:rsid w:val="002E54A8"/>
    <w:rsid w:val="002E563B"/>
    <w:rsid w:val="002E569C"/>
    <w:rsid w:val="002E57C1"/>
    <w:rsid w:val="002E5BA1"/>
    <w:rsid w:val="002E5E5F"/>
    <w:rsid w:val="002E5FF8"/>
    <w:rsid w:val="002E6071"/>
    <w:rsid w:val="002E6368"/>
    <w:rsid w:val="002E680C"/>
    <w:rsid w:val="002E6815"/>
    <w:rsid w:val="002E68F3"/>
    <w:rsid w:val="002E6A8C"/>
    <w:rsid w:val="002E6B00"/>
    <w:rsid w:val="002E6D7C"/>
    <w:rsid w:val="002E7114"/>
    <w:rsid w:val="002E7127"/>
    <w:rsid w:val="002E7263"/>
    <w:rsid w:val="002E78FD"/>
    <w:rsid w:val="002E7A8E"/>
    <w:rsid w:val="002E7E89"/>
    <w:rsid w:val="002E7F7C"/>
    <w:rsid w:val="002F015B"/>
    <w:rsid w:val="002F02F0"/>
    <w:rsid w:val="002F04E8"/>
    <w:rsid w:val="002F0851"/>
    <w:rsid w:val="002F086A"/>
    <w:rsid w:val="002F0E08"/>
    <w:rsid w:val="002F147C"/>
    <w:rsid w:val="002F1826"/>
    <w:rsid w:val="002F1880"/>
    <w:rsid w:val="002F1CD0"/>
    <w:rsid w:val="002F3108"/>
    <w:rsid w:val="002F3B63"/>
    <w:rsid w:val="002F409E"/>
    <w:rsid w:val="002F4370"/>
    <w:rsid w:val="002F4396"/>
    <w:rsid w:val="002F44D8"/>
    <w:rsid w:val="002F456C"/>
    <w:rsid w:val="002F493A"/>
    <w:rsid w:val="002F4BB3"/>
    <w:rsid w:val="002F4F34"/>
    <w:rsid w:val="002F503A"/>
    <w:rsid w:val="002F50A8"/>
    <w:rsid w:val="002F53BE"/>
    <w:rsid w:val="002F53C1"/>
    <w:rsid w:val="002F5717"/>
    <w:rsid w:val="002F5835"/>
    <w:rsid w:val="002F585E"/>
    <w:rsid w:val="002F5960"/>
    <w:rsid w:val="002F639C"/>
    <w:rsid w:val="002F6532"/>
    <w:rsid w:val="002F6652"/>
    <w:rsid w:val="002F6685"/>
    <w:rsid w:val="002F6FEC"/>
    <w:rsid w:val="002F7243"/>
    <w:rsid w:val="002F7261"/>
    <w:rsid w:val="002F72AC"/>
    <w:rsid w:val="002F756C"/>
    <w:rsid w:val="002F7A62"/>
    <w:rsid w:val="002F7B7D"/>
    <w:rsid w:val="002F7BBE"/>
    <w:rsid w:val="002F7D4D"/>
    <w:rsid w:val="002F7EC8"/>
    <w:rsid w:val="0030014B"/>
    <w:rsid w:val="00300239"/>
    <w:rsid w:val="0030026E"/>
    <w:rsid w:val="003002E3"/>
    <w:rsid w:val="0030047F"/>
    <w:rsid w:val="0030078F"/>
    <w:rsid w:val="00300891"/>
    <w:rsid w:val="00300BA7"/>
    <w:rsid w:val="00300E7E"/>
    <w:rsid w:val="003012D9"/>
    <w:rsid w:val="003012DB"/>
    <w:rsid w:val="003012E2"/>
    <w:rsid w:val="003014F4"/>
    <w:rsid w:val="003015A4"/>
    <w:rsid w:val="003015E2"/>
    <w:rsid w:val="003018D1"/>
    <w:rsid w:val="00301970"/>
    <w:rsid w:val="00301B40"/>
    <w:rsid w:val="00301C74"/>
    <w:rsid w:val="00301DCE"/>
    <w:rsid w:val="00301E4B"/>
    <w:rsid w:val="00302017"/>
    <w:rsid w:val="003027AA"/>
    <w:rsid w:val="00302ABC"/>
    <w:rsid w:val="00302C95"/>
    <w:rsid w:val="00302CEC"/>
    <w:rsid w:val="0030310C"/>
    <w:rsid w:val="00303114"/>
    <w:rsid w:val="003031BF"/>
    <w:rsid w:val="003032D1"/>
    <w:rsid w:val="00303476"/>
    <w:rsid w:val="00303632"/>
    <w:rsid w:val="00303638"/>
    <w:rsid w:val="00303AFA"/>
    <w:rsid w:val="00303CB0"/>
    <w:rsid w:val="00304085"/>
    <w:rsid w:val="0030422F"/>
    <w:rsid w:val="00304252"/>
    <w:rsid w:val="003043A6"/>
    <w:rsid w:val="003045D8"/>
    <w:rsid w:val="003047C8"/>
    <w:rsid w:val="00304989"/>
    <w:rsid w:val="00305194"/>
    <w:rsid w:val="00305786"/>
    <w:rsid w:val="00305990"/>
    <w:rsid w:val="00305CDB"/>
    <w:rsid w:val="003060C9"/>
    <w:rsid w:val="0030659B"/>
    <w:rsid w:val="00306791"/>
    <w:rsid w:val="003067A8"/>
    <w:rsid w:val="0030690C"/>
    <w:rsid w:val="003072EC"/>
    <w:rsid w:val="0030772E"/>
    <w:rsid w:val="0030779F"/>
    <w:rsid w:val="00307822"/>
    <w:rsid w:val="00307953"/>
    <w:rsid w:val="00307A3F"/>
    <w:rsid w:val="00307A45"/>
    <w:rsid w:val="00307D78"/>
    <w:rsid w:val="00310407"/>
    <w:rsid w:val="00310441"/>
    <w:rsid w:val="003104E9"/>
    <w:rsid w:val="00310708"/>
    <w:rsid w:val="00310771"/>
    <w:rsid w:val="00310A2D"/>
    <w:rsid w:val="003112EB"/>
    <w:rsid w:val="003115EC"/>
    <w:rsid w:val="00311615"/>
    <w:rsid w:val="00311988"/>
    <w:rsid w:val="00311A38"/>
    <w:rsid w:val="00311CFB"/>
    <w:rsid w:val="00311D6E"/>
    <w:rsid w:val="00311F3B"/>
    <w:rsid w:val="0031209F"/>
    <w:rsid w:val="003123AF"/>
    <w:rsid w:val="0031265C"/>
    <w:rsid w:val="0031305E"/>
    <w:rsid w:val="003135A9"/>
    <w:rsid w:val="0031360E"/>
    <w:rsid w:val="003136D8"/>
    <w:rsid w:val="003144B9"/>
    <w:rsid w:val="003145C9"/>
    <w:rsid w:val="00314A56"/>
    <w:rsid w:val="00314F99"/>
    <w:rsid w:val="0031510B"/>
    <w:rsid w:val="00315DD5"/>
    <w:rsid w:val="0031623E"/>
    <w:rsid w:val="00316607"/>
    <w:rsid w:val="00316A79"/>
    <w:rsid w:val="00316ABB"/>
    <w:rsid w:val="003172F4"/>
    <w:rsid w:val="003173C1"/>
    <w:rsid w:val="00317694"/>
    <w:rsid w:val="00317850"/>
    <w:rsid w:val="003179D6"/>
    <w:rsid w:val="00317D16"/>
    <w:rsid w:val="00317FF1"/>
    <w:rsid w:val="0031A852"/>
    <w:rsid w:val="003201C7"/>
    <w:rsid w:val="0032050F"/>
    <w:rsid w:val="00320939"/>
    <w:rsid w:val="0032096D"/>
    <w:rsid w:val="0032097C"/>
    <w:rsid w:val="003209CB"/>
    <w:rsid w:val="00320E33"/>
    <w:rsid w:val="00320F10"/>
    <w:rsid w:val="00320FDD"/>
    <w:rsid w:val="00321181"/>
    <w:rsid w:val="003211F6"/>
    <w:rsid w:val="00321477"/>
    <w:rsid w:val="00321713"/>
    <w:rsid w:val="003217F8"/>
    <w:rsid w:val="0032198F"/>
    <w:rsid w:val="00321F7E"/>
    <w:rsid w:val="00322485"/>
    <w:rsid w:val="0032255E"/>
    <w:rsid w:val="00322617"/>
    <w:rsid w:val="00322794"/>
    <w:rsid w:val="003228D6"/>
    <w:rsid w:val="003229E7"/>
    <w:rsid w:val="00323542"/>
    <w:rsid w:val="0032359F"/>
    <w:rsid w:val="00323A24"/>
    <w:rsid w:val="00323D31"/>
    <w:rsid w:val="0032427B"/>
    <w:rsid w:val="0032446A"/>
    <w:rsid w:val="0032455E"/>
    <w:rsid w:val="00324633"/>
    <w:rsid w:val="00324E7B"/>
    <w:rsid w:val="00324F9B"/>
    <w:rsid w:val="00325262"/>
    <w:rsid w:val="003255DC"/>
    <w:rsid w:val="003256C5"/>
    <w:rsid w:val="003259DC"/>
    <w:rsid w:val="00326291"/>
    <w:rsid w:val="00326396"/>
    <w:rsid w:val="00326993"/>
    <w:rsid w:val="00326AA8"/>
    <w:rsid w:val="00326B94"/>
    <w:rsid w:val="00326B96"/>
    <w:rsid w:val="003271CF"/>
    <w:rsid w:val="003271FE"/>
    <w:rsid w:val="003273CA"/>
    <w:rsid w:val="003276EA"/>
    <w:rsid w:val="00327C46"/>
    <w:rsid w:val="00327D0A"/>
    <w:rsid w:val="00327DA1"/>
    <w:rsid w:val="00327F0C"/>
    <w:rsid w:val="00327FF6"/>
    <w:rsid w:val="0033029E"/>
    <w:rsid w:val="0033053B"/>
    <w:rsid w:val="0033073E"/>
    <w:rsid w:val="003308AE"/>
    <w:rsid w:val="0033090C"/>
    <w:rsid w:val="00330BD1"/>
    <w:rsid w:val="00330D53"/>
    <w:rsid w:val="00330F12"/>
    <w:rsid w:val="00330F1F"/>
    <w:rsid w:val="00330FE2"/>
    <w:rsid w:val="003315A3"/>
    <w:rsid w:val="0033199A"/>
    <w:rsid w:val="003319A8"/>
    <w:rsid w:val="00331C32"/>
    <w:rsid w:val="00331E7A"/>
    <w:rsid w:val="00331E80"/>
    <w:rsid w:val="003320B0"/>
    <w:rsid w:val="00332273"/>
    <w:rsid w:val="003325C9"/>
    <w:rsid w:val="00332726"/>
    <w:rsid w:val="00332CE5"/>
    <w:rsid w:val="003332B2"/>
    <w:rsid w:val="00333715"/>
    <w:rsid w:val="003337A1"/>
    <w:rsid w:val="003338C4"/>
    <w:rsid w:val="0033395E"/>
    <w:rsid w:val="00333C9C"/>
    <w:rsid w:val="00333DC6"/>
    <w:rsid w:val="00333FAC"/>
    <w:rsid w:val="0033408D"/>
    <w:rsid w:val="0033437A"/>
    <w:rsid w:val="00334B42"/>
    <w:rsid w:val="00334B4B"/>
    <w:rsid w:val="00335080"/>
    <w:rsid w:val="003350BE"/>
    <w:rsid w:val="003353C2"/>
    <w:rsid w:val="00335743"/>
    <w:rsid w:val="00335983"/>
    <w:rsid w:val="00335C97"/>
    <w:rsid w:val="0033680B"/>
    <w:rsid w:val="00336BD6"/>
    <w:rsid w:val="00336F31"/>
    <w:rsid w:val="0033722A"/>
    <w:rsid w:val="003373B0"/>
    <w:rsid w:val="0033755C"/>
    <w:rsid w:val="003377DC"/>
    <w:rsid w:val="00337B4A"/>
    <w:rsid w:val="00337B4F"/>
    <w:rsid w:val="00337C62"/>
    <w:rsid w:val="00337D86"/>
    <w:rsid w:val="00337E0C"/>
    <w:rsid w:val="00337E80"/>
    <w:rsid w:val="00337FC1"/>
    <w:rsid w:val="00337FE8"/>
    <w:rsid w:val="0033AC20"/>
    <w:rsid w:val="003402F0"/>
    <w:rsid w:val="003403AD"/>
    <w:rsid w:val="0034077F"/>
    <w:rsid w:val="003409EB"/>
    <w:rsid w:val="00341421"/>
    <w:rsid w:val="00341964"/>
    <w:rsid w:val="00341C74"/>
    <w:rsid w:val="0034212E"/>
    <w:rsid w:val="003422B2"/>
    <w:rsid w:val="00342302"/>
    <w:rsid w:val="00342319"/>
    <w:rsid w:val="0034264F"/>
    <w:rsid w:val="003426D9"/>
    <w:rsid w:val="00342CD3"/>
    <w:rsid w:val="00342D5C"/>
    <w:rsid w:val="00342DBF"/>
    <w:rsid w:val="003431D0"/>
    <w:rsid w:val="00343244"/>
    <w:rsid w:val="003432EB"/>
    <w:rsid w:val="00343511"/>
    <w:rsid w:val="0034376B"/>
    <w:rsid w:val="003438D9"/>
    <w:rsid w:val="00343BD5"/>
    <w:rsid w:val="00343C77"/>
    <w:rsid w:val="00343E75"/>
    <w:rsid w:val="0034400E"/>
    <w:rsid w:val="0034403B"/>
    <w:rsid w:val="0034438D"/>
    <w:rsid w:val="003444B1"/>
    <w:rsid w:val="0034453D"/>
    <w:rsid w:val="003448CE"/>
    <w:rsid w:val="00344F90"/>
    <w:rsid w:val="00344FB0"/>
    <w:rsid w:val="0034506D"/>
    <w:rsid w:val="003454C2"/>
    <w:rsid w:val="00345C34"/>
    <w:rsid w:val="00345FF2"/>
    <w:rsid w:val="00346012"/>
    <w:rsid w:val="00346170"/>
    <w:rsid w:val="003461F8"/>
    <w:rsid w:val="00346439"/>
    <w:rsid w:val="0034652F"/>
    <w:rsid w:val="00346899"/>
    <w:rsid w:val="00346AEA"/>
    <w:rsid w:val="00346FD4"/>
    <w:rsid w:val="003471FD"/>
    <w:rsid w:val="0034745E"/>
    <w:rsid w:val="003474C3"/>
    <w:rsid w:val="003477E6"/>
    <w:rsid w:val="003479E6"/>
    <w:rsid w:val="00347F93"/>
    <w:rsid w:val="003500BD"/>
    <w:rsid w:val="003505D5"/>
    <w:rsid w:val="0035094E"/>
    <w:rsid w:val="00350E95"/>
    <w:rsid w:val="003512CC"/>
    <w:rsid w:val="00351493"/>
    <w:rsid w:val="00351BBB"/>
    <w:rsid w:val="00351DBC"/>
    <w:rsid w:val="003520F8"/>
    <w:rsid w:val="0035212A"/>
    <w:rsid w:val="003523E9"/>
    <w:rsid w:val="003529B8"/>
    <w:rsid w:val="00352E6E"/>
    <w:rsid w:val="00353123"/>
    <w:rsid w:val="00353327"/>
    <w:rsid w:val="00353641"/>
    <w:rsid w:val="00353851"/>
    <w:rsid w:val="00353B66"/>
    <w:rsid w:val="00353F15"/>
    <w:rsid w:val="0035421A"/>
    <w:rsid w:val="00354276"/>
    <w:rsid w:val="003542D8"/>
    <w:rsid w:val="003546F1"/>
    <w:rsid w:val="0035511F"/>
    <w:rsid w:val="003553BC"/>
    <w:rsid w:val="00355557"/>
    <w:rsid w:val="003558DD"/>
    <w:rsid w:val="00355E0E"/>
    <w:rsid w:val="00355E2A"/>
    <w:rsid w:val="00355E30"/>
    <w:rsid w:val="00355EE5"/>
    <w:rsid w:val="00356258"/>
    <w:rsid w:val="00356392"/>
    <w:rsid w:val="00356BD8"/>
    <w:rsid w:val="00356BF0"/>
    <w:rsid w:val="003571D0"/>
    <w:rsid w:val="003571F3"/>
    <w:rsid w:val="00357319"/>
    <w:rsid w:val="00357363"/>
    <w:rsid w:val="0035765C"/>
    <w:rsid w:val="00357C17"/>
    <w:rsid w:val="00357C2D"/>
    <w:rsid w:val="00357F1F"/>
    <w:rsid w:val="0035B709"/>
    <w:rsid w:val="00360199"/>
    <w:rsid w:val="003601B8"/>
    <w:rsid w:val="00360823"/>
    <w:rsid w:val="00360853"/>
    <w:rsid w:val="00360888"/>
    <w:rsid w:val="003608A4"/>
    <w:rsid w:val="00360A39"/>
    <w:rsid w:val="00360ADA"/>
    <w:rsid w:val="00360B64"/>
    <w:rsid w:val="003611E4"/>
    <w:rsid w:val="00361372"/>
    <w:rsid w:val="00361A06"/>
    <w:rsid w:val="00361AA5"/>
    <w:rsid w:val="00361EBA"/>
    <w:rsid w:val="00361EF6"/>
    <w:rsid w:val="0036202C"/>
    <w:rsid w:val="003626E6"/>
    <w:rsid w:val="003626F8"/>
    <w:rsid w:val="00362718"/>
    <w:rsid w:val="0036278C"/>
    <w:rsid w:val="00362BE3"/>
    <w:rsid w:val="00362C4F"/>
    <w:rsid w:val="00363054"/>
    <w:rsid w:val="00363949"/>
    <w:rsid w:val="00363D27"/>
    <w:rsid w:val="00363D48"/>
    <w:rsid w:val="00363DA5"/>
    <w:rsid w:val="00363DF3"/>
    <w:rsid w:val="00364286"/>
    <w:rsid w:val="00364471"/>
    <w:rsid w:val="003646B0"/>
    <w:rsid w:val="00364725"/>
    <w:rsid w:val="00364FE3"/>
    <w:rsid w:val="003650F7"/>
    <w:rsid w:val="0036525D"/>
    <w:rsid w:val="0036539A"/>
    <w:rsid w:val="0036568F"/>
    <w:rsid w:val="003659AF"/>
    <w:rsid w:val="00365A76"/>
    <w:rsid w:val="00365D10"/>
    <w:rsid w:val="0036694F"/>
    <w:rsid w:val="00366A91"/>
    <w:rsid w:val="00367256"/>
    <w:rsid w:val="003676BB"/>
    <w:rsid w:val="003676CC"/>
    <w:rsid w:val="0036774F"/>
    <w:rsid w:val="00367782"/>
    <w:rsid w:val="00367853"/>
    <w:rsid w:val="00367B0A"/>
    <w:rsid w:val="00367D82"/>
    <w:rsid w:val="00367EA1"/>
    <w:rsid w:val="00367EDB"/>
    <w:rsid w:val="003700DC"/>
    <w:rsid w:val="00370369"/>
    <w:rsid w:val="003705BE"/>
    <w:rsid w:val="00370980"/>
    <w:rsid w:val="00370B50"/>
    <w:rsid w:val="00370B66"/>
    <w:rsid w:val="00370EB5"/>
    <w:rsid w:val="00371461"/>
    <w:rsid w:val="00371664"/>
    <w:rsid w:val="003716B2"/>
    <w:rsid w:val="003716F5"/>
    <w:rsid w:val="0037179E"/>
    <w:rsid w:val="00371B17"/>
    <w:rsid w:val="00371FF7"/>
    <w:rsid w:val="003722F9"/>
    <w:rsid w:val="003725B6"/>
    <w:rsid w:val="00372B01"/>
    <w:rsid w:val="00372C0A"/>
    <w:rsid w:val="00372C49"/>
    <w:rsid w:val="00372E1A"/>
    <w:rsid w:val="0037381F"/>
    <w:rsid w:val="00373B25"/>
    <w:rsid w:val="00373D27"/>
    <w:rsid w:val="00373EC3"/>
    <w:rsid w:val="00374298"/>
    <w:rsid w:val="00374832"/>
    <w:rsid w:val="0037490E"/>
    <w:rsid w:val="00374DF9"/>
    <w:rsid w:val="00374E71"/>
    <w:rsid w:val="00375837"/>
    <w:rsid w:val="00375896"/>
    <w:rsid w:val="00375A5D"/>
    <w:rsid w:val="003764A3"/>
    <w:rsid w:val="00376799"/>
    <w:rsid w:val="00376979"/>
    <w:rsid w:val="00376A08"/>
    <w:rsid w:val="00376A59"/>
    <w:rsid w:val="00376C2D"/>
    <w:rsid w:val="00376F0A"/>
    <w:rsid w:val="003770D5"/>
    <w:rsid w:val="00377410"/>
    <w:rsid w:val="003777DF"/>
    <w:rsid w:val="00377935"/>
    <w:rsid w:val="00377F9F"/>
    <w:rsid w:val="0037B2F4"/>
    <w:rsid w:val="003804B8"/>
    <w:rsid w:val="003807EE"/>
    <w:rsid w:val="00380984"/>
    <w:rsid w:val="00380B77"/>
    <w:rsid w:val="003812D4"/>
    <w:rsid w:val="003815AD"/>
    <w:rsid w:val="003815F9"/>
    <w:rsid w:val="0038164F"/>
    <w:rsid w:val="00381881"/>
    <w:rsid w:val="00381DB9"/>
    <w:rsid w:val="00381FE8"/>
    <w:rsid w:val="00382121"/>
    <w:rsid w:val="00382125"/>
    <w:rsid w:val="003821F5"/>
    <w:rsid w:val="0038251E"/>
    <w:rsid w:val="0038263C"/>
    <w:rsid w:val="00382751"/>
    <w:rsid w:val="00382BFD"/>
    <w:rsid w:val="00382D05"/>
    <w:rsid w:val="0038376C"/>
    <w:rsid w:val="0038376E"/>
    <w:rsid w:val="00383C1E"/>
    <w:rsid w:val="00383CB2"/>
    <w:rsid w:val="00383D82"/>
    <w:rsid w:val="00383DAE"/>
    <w:rsid w:val="003840E3"/>
    <w:rsid w:val="00384550"/>
    <w:rsid w:val="0038457A"/>
    <w:rsid w:val="00384675"/>
    <w:rsid w:val="00384753"/>
    <w:rsid w:val="00384824"/>
    <w:rsid w:val="00384939"/>
    <w:rsid w:val="00384AC2"/>
    <w:rsid w:val="00384B39"/>
    <w:rsid w:val="00384B69"/>
    <w:rsid w:val="00384C9E"/>
    <w:rsid w:val="00384E3C"/>
    <w:rsid w:val="00384EBB"/>
    <w:rsid w:val="003857BD"/>
    <w:rsid w:val="00385BFA"/>
    <w:rsid w:val="0038612F"/>
    <w:rsid w:val="00386669"/>
    <w:rsid w:val="00386AF4"/>
    <w:rsid w:val="00386CCE"/>
    <w:rsid w:val="00386E59"/>
    <w:rsid w:val="0038708F"/>
    <w:rsid w:val="003871AB"/>
    <w:rsid w:val="003871AC"/>
    <w:rsid w:val="003874BB"/>
    <w:rsid w:val="0038774A"/>
    <w:rsid w:val="003877A7"/>
    <w:rsid w:val="00390587"/>
    <w:rsid w:val="00390714"/>
    <w:rsid w:val="0039078C"/>
    <w:rsid w:val="00390C17"/>
    <w:rsid w:val="00390DBC"/>
    <w:rsid w:val="003911E0"/>
    <w:rsid w:val="00391B74"/>
    <w:rsid w:val="00391D85"/>
    <w:rsid w:val="00391E81"/>
    <w:rsid w:val="00392064"/>
    <w:rsid w:val="003920F5"/>
    <w:rsid w:val="003921E7"/>
    <w:rsid w:val="003923E4"/>
    <w:rsid w:val="00392453"/>
    <w:rsid w:val="003925A1"/>
    <w:rsid w:val="0039267B"/>
    <w:rsid w:val="0039284B"/>
    <w:rsid w:val="00392F63"/>
    <w:rsid w:val="00392FC8"/>
    <w:rsid w:val="003940CD"/>
    <w:rsid w:val="00394119"/>
    <w:rsid w:val="0039427A"/>
    <w:rsid w:val="00394554"/>
    <w:rsid w:val="0039457A"/>
    <w:rsid w:val="0039461C"/>
    <w:rsid w:val="003948AB"/>
    <w:rsid w:val="00395554"/>
    <w:rsid w:val="00395938"/>
    <w:rsid w:val="00395A69"/>
    <w:rsid w:val="0039636D"/>
    <w:rsid w:val="0039650A"/>
    <w:rsid w:val="00396519"/>
    <w:rsid w:val="003965C5"/>
    <w:rsid w:val="0039706B"/>
    <w:rsid w:val="00397085"/>
    <w:rsid w:val="0039719A"/>
    <w:rsid w:val="003975B1"/>
    <w:rsid w:val="003975F0"/>
    <w:rsid w:val="003978EB"/>
    <w:rsid w:val="00397B6E"/>
    <w:rsid w:val="00397D56"/>
    <w:rsid w:val="003A032F"/>
    <w:rsid w:val="003A05AF"/>
    <w:rsid w:val="003A07D6"/>
    <w:rsid w:val="003A0C3A"/>
    <w:rsid w:val="003A0F00"/>
    <w:rsid w:val="003A0F58"/>
    <w:rsid w:val="003A1183"/>
    <w:rsid w:val="003A1578"/>
    <w:rsid w:val="003A1722"/>
    <w:rsid w:val="003A18B7"/>
    <w:rsid w:val="003A18F6"/>
    <w:rsid w:val="003A1D1A"/>
    <w:rsid w:val="003A1E20"/>
    <w:rsid w:val="003A1EFB"/>
    <w:rsid w:val="003A1F1A"/>
    <w:rsid w:val="003A2645"/>
    <w:rsid w:val="003A292D"/>
    <w:rsid w:val="003A2A6E"/>
    <w:rsid w:val="003A2E86"/>
    <w:rsid w:val="003A3056"/>
    <w:rsid w:val="003A30A8"/>
    <w:rsid w:val="003A3444"/>
    <w:rsid w:val="003A34D1"/>
    <w:rsid w:val="003A39AF"/>
    <w:rsid w:val="003A3FC0"/>
    <w:rsid w:val="003A412E"/>
    <w:rsid w:val="003A46EC"/>
    <w:rsid w:val="003A47C0"/>
    <w:rsid w:val="003A47CC"/>
    <w:rsid w:val="003A496D"/>
    <w:rsid w:val="003A4AA0"/>
    <w:rsid w:val="003A4E6E"/>
    <w:rsid w:val="003A4FCB"/>
    <w:rsid w:val="003A5044"/>
    <w:rsid w:val="003A52A8"/>
    <w:rsid w:val="003A5567"/>
    <w:rsid w:val="003A5825"/>
    <w:rsid w:val="003A59A7"/>
    <w:rsid w:val="003A5FE8"/>
    <w:rsid w:val="003A6074"/>
    <w:rsid w:val="003A620F"/>
    <w:rsid w:val="003A62BA"/>
    <w:rsid w:val="003A62E0"/>
    <w:rsid w:val="003A6661"/>
    <w:rsid w:val="003A6669"/>
    <w:rsid w:val="003A67A9"/>
    <w:rsid w:val="003A6842"/>
    <w:rsid w:val="003A69A9"/>
    <w:rsid w:val="003A6E15"/>
    <w:rsid w:val="003A7040"/>
    <w:rsid w:val="003A70B0"/>
    <w:rsid w:val="003A7144"/>
    <w:rsid w:val="003A71C4"/>
    <w:rsid w:val="003A7503"/>
    <w:rsid w:val="003A770A"/>
    <w:rsid w:val="003A7D0E"/>
    <w:rsid w:val="003A7D65"/>
    <w:rsid w:val="003A7F75"/>
    <w:rsid w:val="003B02A4"/>
    <w:rsid w:val="003B04EA"/>
    <w:rsid w:val="003B0698"/>
    <w:rsid w:val="003B0D6E"/>
    <w:rsid w:val="003B1338"/>
    <w:rsid w:val="003B15A2"/>
    <w:rsid w:val="003B1907"/>
    <w:rsid w:val="003B2011"/>
    <w:rsid w:val="003B295F"/>
    <w:rsid w:val="003B2AD2"/>
    <w:rsid w:val="003B2D8B"/>
    <w:rsid w:val="003B2F22"/>
    <w:rsid w:val="003B2F36"/>
    <w:rsid w:val="003B343D"/>
    <w:rsid w:val="003B34CB"/>
    <w:rsid w:val="003B3682"/>
    <w:rsid w:val="003B39D6"/>
    <w:rsid w:val="003B3A48"/>
    <w:rsid w:val="003B44C5"/>
    <w:rsid w:val="003B45EA"/>
    <w:rsid w:val="003B467E"/>
    <w:rsid w:val="003B4780"/>
    <w:rsid w:val="003B4800"/>
    <w:rsid w:val="003B49A7"/>
    <w:rsid w:val="003B4AD7"/>
    <w:rsid w:val="003B4E2B"/>
    <w:rsid w:val="003B4F9F"/>
    <w:rsid w:val="003B501C"/>
    <w:rsid w:val="003B507E"/>
    <w:rsid w:val="003B5393"/>
    <w:rsid w:val="003B53B1"/>
    <w:rsid w:val="003B54BF"/>
    <w:rsid w:val="003B5F64"/>
    <w:rsid w:val="003B6078"/>
    <w:rsid w:val="003B65D8"/>
    <w:rsid w:val="003B7D57"/>
    <w:rsid w:val="003C02C4"/>
    <w:rsid w:val="003C0518"/>
    <w:rsid w:val="003C05F4"/>
    <w:rsid w:val="003C06A8"/>
    <w:rsid w:val="003C0DEE"/>
    <w:rsid w:val="003C1050"/>
    <w:rsid w:val="003C1630"/>
    <w:rsid w:val="003C1E4A"/>
    <w:rsid w:val="003C21D7"/>
    <w:rsid w:val="003C223C"/>
    <w:rsid w:val="003C231C"/>
    <w:rsid w:val="003C2636"/>
    <w:rsid w:val="003C2A42"/>
    <w:rsid w:val="003C2D8C"/>
    <w:rsid w:val="003C2DED"/>
    <w:rsid w:val="003C2F18"/>
    <w:rsid w:val="003C315A"/>
    <w:rsid w:val="003C3347"/>
    <w:rsid w:val="003C33A9"/>
    <w:rsid w:val="003C341E"/>
    <w:rsid w:val="003C3706"/>
    <w:rsid w:val="003C3A45"/>
    <w:rsid w:val="003C3EEA"/>
    <w:rsid w:val="003C421E"/>
    <w:rsid w:val="003C4B9E"/>
    <w:rsid w:val="003C4CF3"/>
    <w:rsid w:val="003C4F2E"/>
    <w:rsid w:val="003C5832"/>
    <w:rsid w:val="003C5915"/>
    <w:rsid w:val="003C5AA8"/>
    <w:rsid w:val="003C5CB1"/>
    <w:rsid w:val="003C5E1B"/>
    <w:rsid w:val="003C5EF1"/>
    <w:rsid w:val="003C5FDA"/>
    <w:rsid w:val="003C6412"/>
    <w:rsid w:val="003C6AB6"/>
    <w:rsid w:val="003C7150"/>
    <w:rsid w:val="003C738B"/>
    <w:rsid w:val="003C7AD0"/>
    <w:rsid w:val="003C7FE9"/>
    <w:rsid w:val="003D001A"/>
    <w:rsid w:val="003D061F"/>
    <w:rsid w:val="003D068A"/>
    <w:rsid w:val="003D0969"/>
    <w:rsid w:val="003D0EE7"/>
    <w:rsid w:val="003D10D0"/>
    <w:rsid w:val="003D1F94"/>
    <w:rsid w:val="003D20D8"/>
    <w:rsid w:val="003D24AB"/>
    <w:rsid w:val="003D2671"/>
    <w:rsid w:val="003D2A6B"/>
    <w:rsid w:val="003D2B57"/>
    <w:rsid w:val="003D2E8E"/>
    <w:rsid w:val="003D2ED0"/>
    <w:rsid w:val="003D34D7"/>
    <w:rsid w:val="003D35F4"/>
    <w:rsid w:val="003D3B27"/>
    <w:rsid w:val="003D40B7"/>
    <w:rsid w:val="003D40E7"/>
    <w:rsid w:val="003D4652"/>
    <w:rsid w:val="003D52F7"/>
    <w:rsid w:val="003D5420"/>
    <w:rsid w:val="003D62CE"/>
    <w:rsid w:val="003D6309"/>
    <w:rsid w:val="003D685C"/>
    <w:rsid w:val="003D6BD1"/>
    <w:rsid w:val="003D6CCE"/>
    <w:rsid w:val="003D6E4C"/>
    <w:rsid w:val="003D6F9D"/>
    <w:rsid w:val="003D7092"/>
    <w:rsid w:val="003D73E5"/>
    <w:rsid w:val="003D73F4"/>
    <w:rsid w:val="003D75B6"/>
    <w:rsid w:val="003D78CB"/>
    <w:rsid w:val="003D7C76"/>
    <w:rsid w:val="003D7DF6"/>
    <w:rsid w:val="003E0031"/>
    <w:rsid w:val="003E011B"/>
    <w:rsid w:val="003E0146"/>
    <w:rsid w:val="003E047D"/>
    <w:rsid w:val="003E0621"/>
    <w:rsid w:val="003E08CA"/>
    <w:rsid w:val="003E0DF5"/>
    <w:rsid w:val="003E0DFC"/>
    <w:rsid w:val="003E16D7"/>
    <w:rsid w:val="003E189B"/>
    <w:rsid w:val="003E189F"/>
    <w:rsid w:val="003E2024"/>
    <w:rsid w:val="003E221A"/>
    <w:rsid w:val="003E2402"/>
    <w:rsid w:val="003E254E"/>
    <w:rsid w:val="003E2839"/>
    <w:rsid w:val="003E2B23"/>
    <w:rsid w:val="003E2B6C"/>
    <w:rsid w:val="003E3402"/>
    <w:rsid w:val="003E3831"/>
    <w:rsid w:val="003E39B4"/>
    <w:rsid w:val="003E3D91"/>
    <w:rsid w:val="003E3E23"/>
    <w:rsid w:val="003E3EF3"/>
    <w:rsid w:val="003E4064"/>
    <w:rsid w:val="003E4608"/>
    <w:rsid w:val="003E46B8"/>
    <w:rsid w:val="003E46EE"/>
    <w:rsid w:val="003E4AD5"/>
    <w:rsid w:val="003E4CA7"/>
    <w:rsid w:val="003E4D3F"/>
    <w:rsid w:val="003E51F6"/>
    <w:rsid w:val="003E5215"/>
    <w:rsid w:val="003E5464"/>
    <w:rsid w:val="003E562D"/>
    <w:rsid w:val="003E5724"/>
    <w:rsid w:val="003E5AFB"/>
    <w:rsid w:val="003E5B3D"/>
    <w:rsid w:val="003E5CAB"/>
    <w:rsid w:val="003E5CBE"/>
    <w:rsid w:val="003E5F7F"/>
    <w:rsid w:val="003E6415"/>
    <w:rsid w:val="003E7024"/>
    <w:rsid w:val="003E7159"/>
    <w:rsid w:val="003E74D7"/>
    <w:rsid w:val="003E7968"/>
    <w:rsid w:val="003F0270"/>
    <w:rsid w:val="003F02B6"/>
    <w:rsid w:val="003F02F7"/>
    <w:rsid w:val="003F049B"/>
    <w:rsid w:val="003F0E21"/>
    <w:rsid w:val="003F0F81"/>
    <w:rsid w:val="003F1239"/>
    <w:rsid w:val="003F1317"/>
    <w:rsid w:val="003F1411"/>
    <w:rsid w:val="003F160B"/>
    <w:rsid w:val="003F19D5"/>
    <w:rsid w:val="003F1A3C"/>
    <w:rsid w:val="003F1EC6"/>
    <w:rsid w:val="003F1FE9"/>
    <w:rsid w:val="003F2412"/>
    <w:rsid w:val="003F2B02"/>
    <w:rsid w:val="003F2BF9"/>
    <w:rsid w:val="003F2C45"/>
    <w:rsid w:val="003F2D98"/>
    <w:rsid w:val="003F2DA5"/>
    <w:rsid w:val="003F3024"/>
    <w:rsid w:val="003F314F"/>
    <w:rsid w:val="003F33C3"/>
    <w:rsid w:val="003F3791"/>
    <w:rsid w:val="003F3980"/>
    <w:rsid w:val="003F3A4B"/>
    <w:rsid w:val="003F3D5B"/>
    <w:rsid w:val="003F3EF4"/>
    <w:rsid w:val="003F3F06"/>
    <w:rsid w:val="003F445B"/>
    <w:rsid w:val="003F47CD"/>
    <w:rsid w:val="003F5211"/>
    <w:rsid w:val="003F52AE"/>
    <w:rsid w:val="003F5530"/>
    <w:rsid w:val="003F55C7"/>
    <w:rsid w:val="003F56BF"/>
    <w:rsid w:val="003F5D37"/>
    <w:rsid w:val="003F5E29"/>
    <w:rsid w:val="003F6102"/>
    <w:rsid w:val="003F6168"/>
    <w:rsid w:val="003F64A3"/>
    <w:rsid w:val="003F6773"/>
    <w:rsid w:val="003F698F"/>
    <w:rsid w:val="003F6CE7"/>
    <w:rsid w:val="003F6D75"/>
    <w:rsid w:val="003F6F64"/>
    <w:rsid w:val="003F7056"/>
    <w:rsid w:val="003F7070"/>
    <w:rsid w:val="003F7296"/>
    <w:rsid w:val="003F731B"/>
    <w:rsid w:val="003F767A"/>
    <w:rsid w:val="003F7B25"/>
    <w:rsid w:val="003F7C5E"/>
    <w:rsid w:val="003F7DE3"/>
    <w:rsid w:val="00400242"/>
    <w:rsid w:val="004010D9"/>
    <w:rsid w:val="0040114B"/>
    <w:rsid w:val="004011B9"/>
    <w:rsid w:val="00401679"/>
    <w:rsid w:val="00401771"/>
    <w:rsid w:val="004017C7"/>
    <w:rsid w:val="00401BBA"/>
    <w:rsid w:val="00401C3B"/>
    <w:rsid w:val="00401C5C"/>
    <w:rsid w:val="004023A3"/>
    <w:rsid w:val="004025DC"/>
    <w:rsid w:val="00402762"/>
    <w:rsid w:val="00402825"/>
    <w:rsid w:val="00402EEA"/>
    <w:rsid w:val="0040311C"/>
    <w:rsid w:val="0040321C"/>
    <w:rsid w:val="0040398E"/>
    <w:rsid w:val="00403AF7"/>
    <w:rsid w:val="00403BDD"/>
    <w:rsid w:val="00403D86"/>
    <w:rsid w:val="00403E7A"/>
    <w:rsid w:val="00403F7C"/>
    <w:rsid w:val="00403FD4"/>
    <w:rsid w:val="004040A4"/>
    <w:rsid w:val="00404119"/>
    <w:rsid w:val="004046D2"/>
    <w:rsid w:val="00404B46"/>
    <w:rsid w:val="0040504C"/>
    <w:rsid w:val="004051A4"/>
    <w:rsid w:val="004051C7"/>
    <w:rsid w:val="00405460"/>
    <w:rsid w:val="00405595"/>
    <w:rsid w:val="00405758"/>
    <w:rsid w:val="0040598F"/>
    <w:rsid w:val="00405D57"/>
    <w:rsid w:val="004064AE"/>
    <w:rsid w:val="00406AEE"/>
    <w:rsid w:val="00406C68"/>
    <w:rsid w:val="00406C9D"/>
    <w:rsid w:val="00406F45"/>
    <w:rsid w:val="004072AC"/>
    <w:rsid w:val="00407323"/>
    <w:rsid w:val="004074E1"/>
    <w:rsid w:val="00407911"/>
    <w:rsid w:val="00407D39"/>
    <w:rsid w:val="004102FD"/>
    <w:rsid w:val="00410AD3"/>
    <w:rsid w:val="004112CE"/>
    <w:rsid w:val="00411534"/>
    <w:rsid w:val="00411B9C"/>
    <w:rsid w:val="00411E42"/>
    <w:rsid w:val="004120FC"/>
    <w:rsid w:val="004121F7"/>
    <w:rsid w:val="0041226C"/>
    <w:rsid w:val="0041231E"/>
    <w:rsid w:val="004123A4"/>
    <w:rsid w:val="0041263F"/>
    <w:rsid w:val="0041326D"/>
    <w:rsid w:val="00413BA5"/>
    <w:rsid w:val="0041409C"/>
    <w:rsid w:val="00414197"/>
    <w:rsid w:val="004145CC"/>
    <w:rsid w:val="00414733"/>
    <w:rsid w:val="004151F4"/>
    <w:rsid w:val="00415603"/>
    <w:rsid w:val="00415809"/>
    <w:rsid w:val="00415C03"/>
    <w:rsid w:val="00416320"/>
    <w:rsid w:val="00416667"/>
    <w:rsid w:val="00416EB0"/>
    <w:rsid w:val="00417308"/>
    <w:rsid w:val="0041732C"/>
    <w:rsid w:val="0041750A"/>
    <w:rsid w:val="00417833"/>
    <w:rsid w:val="00417B28"/>
    <w:rsid w:val="00417D8E"/>
    <w:rsid w:val="004200DC"/>
    <w:rsid w:val="004200ED"/>
    <w:rsid w:val="00420120"/>
    <w:rsid w:val="00420D60"/>
    <w:rsid w:val="00420E81"/>
    <w:rsid w:val="00420FAA"/>
    <w:rsid w:val="00420FCB"/>
    <w:rsid w:val="00421159"/>
    <w:rsid w:val="0042140E"/>
    <w:rsid w:val="0042157D"/>
    <w:rsid w:val="00421F70"/>
    <w:rsid w:val="00422340"/>
    <w:rsid w:val="004223AD"/>
    <w:rsid w:val="0042284D"/>
    <w:rsid w:val="00423258"/>
    <w:rsid w:val="00423417"/>
    <w:rsid w:val="0042344C"/>
    <w:rsid w:val="00423659"/>
    <w:rsid w:val="00423ECB"/>
    <w:rsid w:val="00423EDA"/>
    <w:rsid w:val="00423EF6"/>
    <w:rsid w:val="00423F54"/>
    <w:rsid w:val="0042492B"/>
    <w:rsid w:val="004252B2"/>
    <w:rsid w:val="00425380"/>
    <w:rsid w:val="00425415"/>
    <w:rsid w:val="00425EDF"/>
    <w:rsid w:val="00426063"/>
    <w:rsid w:val="0042621A"/>
    <w:rsid w:val="00426376"/>
    <w:rsid w:val="00426504"/>
    <w:rsid w:val="004265E4"/>
    <w:rsid w:val="00426AD1"/>
    <w:rsid w:val="00426B1C"/>
    <w:rsid w:val="00426C66"/>
    <w:rsid w:val="00426E84"/>
    <w:rsid w:val="00426EC0"/>
    <w:rsid w:val="004271C9"/>
    <w:rsid w:val="004278E5"/>
    <w:rsid w:val="00427AE9"/>
    <w:rsid w:val="00427EEB"/>
    <w:rsid w:val="004302E8"/>
    <w:rsid w:val="00430434"/>
    <w:rsid w:val="004309F8"/>
    <w:rsid w:val="00430A25"/>
    <w:rsid w:val="00430C23"/>
    <w:rsid w:val="00431064"/>
    <w:rsid w:val="004312B7"/>
    <w:rsid w:val="00431343"/>
    <w:rsid w:val="004313D9"/>
    <w:rsid w:val="00431647"/>
    <w:rsid w:val="004316E9"/>
    <w:rsid w:val="00431929"/>
    <w:rsid w:val="0043197A"/>
    <w:rsid w:val="00431988"/>
    <w:rsid w:val="00431A15"/>
    <w:rsid w:val="00431D98"/>
    <w:rsid w:val="00432217"/>
    <w:rsid w:val="00432483"/>
    <w:rsid w:val="0043256E"/>
    <w:rsid w:val="004325A1"/>
    <w:rsid w:val="00432F41"/>
    <w:rsid w:val="00432FE5"/>
    <w:rsid w:val="00433108"/>
    <w:rsid w:val="00433379"/>
    <w:rsid w:val="00433521"/>
    <w:rsid w:val="0043370C"/>
    <w:rsid w:val="004337AB"/>
    <w:rsid w:val="00433848"/>
    <w:rsid w:val="00433B35"/>
    <w:rsid w:val="0043419B"/>
    <w:rsid w:val="00434345"/>
    <w:rsid w:val="00434557"/>
    <w:rsid w:val="004345A0"/>
    <w:rsid w:val="00434E1E"/>
    <w:rsid w:val="004351F2"/>
    <w:rsid w:val="00435D3B"/>
    <w:rsid w:val="00436518"/>
    <w:rsid w:val="00436528"/>
    <w:rsid w:val="00436736"/>
    <w:rsid w:val="00436852"/>
    <w:rsid w:val="00436A87"/>
    <w:rsid w:val="00436B4E"/>
    <w:rsid w:val="00436CE7"/>
    <w:rsid w:val="00436D08"/>
    <w:rsid w:val="00436E60"/>
    <w:rsid w:val="00437082"/>
    <w:rsid w:val="004376FC"/>
    <w:rsid w:val="00437B60"/>
    <w:rsid w:val="00437F50"/>
    <w:rsid w:val="00439274"/>
    <w:rsid w:val="00440271"/>
    <w:rsid w:val="004404AC"/>
    <w:rsid w:val="0044073E"/>
    <w:rsid w:val="00440917"/>
    <w:rsid w:val="00441021"/>
    <w:rsid w:val="00441078"/>
    <w:rsid w:val="0044110C"/>
    <w:rsid w:val="0044116F"/>
    <w:rsid w:val="00441171"/>
    <w:rsid w:val="004419D0"/>
    <w:rsid w:val="00441A91"/>
    <w:rsid w:val="00441C24"/>
    <w:rsid w:val="00441FE5"/>
    <w:rsid w:val="00442421"/>
    <w:rsid w:val="004424CA"/>
    <w:rsid w:val="004428BF"/>
    <w:rsid w:val="00442BAB"/>
    <w:rsid w:val="004430AE"/>
    <w:rsid w:val="00443189"/>
    <w:rsid w:val="004433EF"/>
    <w:rsid w:val="004435A2"/>
    <w:rsid w:val="0044377C"/>
    <w:rsid w:val="00443810"/>
    <w:rsid w:val="00443F23"/>
    <w:rsid w:val="00444091"/>
    <w:rsid w:val="00444115"/>
    <w:rsid w:val="00444120"/>
    <w:rsid w:val="00444166"/>
    <w:rsid w:val="00444E7D"/>
    <w:rsid w:val="0044548A"/>
    <w:rsid w:val="004458F9"/>
    <w:rsid w:val="00445B4C"/>
    <w:rsid w:val="004461FA"/>
    <w:rsid w:val="0044655F"/>
    <w:rsid w:val="004469B1"/>
    <w:rsid w:val="00446A8B"/>
    <w:rsid w:val="00446C30"/>
    <w:rsid w:val="00446E4E"/>
    <w:rsid w:val="00446F19"/>
    <w:rsid w:val="0044743B"/>
    <w:rsid w:val="00447BCF"/>
    <w:rsid w:val="00447CEA"/>
    <w:rsid w:val="00447EC4"/>
    <w:rsid w:val="00447F50"/>
    <w:rsid w:val="0044993C"/>
    <w:rsid w:val="0045012C"/>
    <w:rsid w:val="00450377"/>
    <w:rsid w:val="00450477"/>
    <w:rsid w:val="00450BAE"/>
    <w:rsid w:val="00450C0A"/>
    <w:rsid w:val="00450D7F"/>
    <w:rsid w:val="00450FD3"/>
    <w:rsid w:val="004513B7"/>
    <w:rsid w:val="00451428"/>
    <w:rsid w:val="00451881"/>
    <w:rsid w:val="00451F01"/>
    <w:rsid w:val="004520C8"/>
    <w:rsid w:val="004520D2"/>
    <w:rsid w:val="00452333"/>
    <w:rsid w:val="00452507"/>
    <w:rsid w:val="004525E1"/>
    <w:rsid w:val="004526F5"/>
    <w:rsid w:val="00452895"/>
    <w:rsid w:val="004528CC"/>
    <w:rsid w:val="00452C7D"/>
    <w:rsid w:val="00452D03"/>
    <w:rsid w:val="00452F7E"/>
    <w:rsid w:val="004530AA"/>
    <w:rsid w:val="004534BF"/>
    <w:rsid w:val="004545AA"/>
    <w:rsid w:val="0045466A"/>
    <w:rsid w:val="00454964"/>
    <w:rsid w:val="00454BB6"/>
    <w:rsid w:val="0045506F"/>
    <w:rsid w:val="0045558D"/>
    <w:rsid w:val="004559CB"/>
    <w:rsid w:val="00455BEF"/>
    <w:rsid w:val="00455D93"/>
    <w:rsid w:val="004560C2"/>
    <w:rsid w:val="004562E7"/>
    <w:rsid w:val="00456739"/>
    <w:rsid w:val="00456931"/>
    <w:rsid w:val="004569DC"/>
    <w:rsid w:val="00456E94"/>
    <w:rsid w:val="004571D0"/>
    <w:rsid w:val="004571FA"/>
    <w:rsid w:val="0045723F"/>
    <w:rsid w:val="0045751A"/>
    <w:rsid w:val="0045758D"/>
    <w:rsid w:val="004575FD"/>
    <w:rsid w:val="00457D29"/>
    <w:rsid w:val="00460248"/>
    <w:rsid w:val="00460760"/>
    <w:rsid w:val="00460DC3"/>
    <w:rsid w:val="00460FAE"/>
    <w:rsid w:val="00461248"/>
    <w:rsid w:val="004613E8"/>
    <w:rsid w:val="00461727"/>
    <w:rsid w:val="00461783"/>
    <w:rsid w:val="00461849"/>
    <w:rsid w:val="00461C71"/>
    <w:rsid w:val="00462620"/>
    <w:rsid w:val="00462C62"/>
    <w:rsid w:val="00462F2E"/>
    <w:rsid w:val="00463197"/>
    <w:rsid w:val="00463384"/>
    <w:rsid w:val="004634E0"/>
    <w:rsid w:val="00463555"/>
    <w:rsid w:val="00463616"/>
    <w:rsid w:val="00463A95"/>
    <w:rsid w:val="00463CA5"/>
    <w:rsid w:val="00463CB2"/>
    <w:rsid w:val="00463F64"/>
    <w:rsid w:val="00463FBE"/>
    <w:rsid w:val="00464291"/>
    <w:rsid w:val="00464311"/>
    <w:rsid w:val="004644FC"/>
    <w:rsid w:val="004649BE"/>
    <w:rsid w:val="00464ACF"/>
    <w:rsid w:val="00464C55"/>
    <w:rsid w:val="00464C7A"/>
    <w:rsid w:val="00464DAE"/>
    <w:rsid w:val="00465AE7"/>
    <w:rsid w:val="0046616F"/>
    <w:rsid w:val="00466307"/>
    <w:rsid w:val="004663DE"/>
    <w:rsid w:val="004663F9"/>
    <w:rsid w:val="00466487"/>
    <w:rsid w:val="00466AC4"/>
    <w:rsid w:val="00466F47"/>
    <w:rsid w:val="00466F65"/>
    <w:rsid w:val="0046706F"/>
    <w:rsid w:val="00467206"/>
    <w:rsid w:val="00467733"/>
    <w:rsid w:val="00467AA1"/>
    <w:rsid w:val="00467C94"/>
    <w:rsid w:val="00470141"/>
    <w:rsid w:val="0047036C"/>
    <w:rsid w:val="00470AF5"/>
    <w:rsid w:val="00470BBC"/>
    <w:rsid w:val="00470FB2"/>
    <w:rsid w:val="00470FF3"/>
    <w:rsid w:val="004711F1"/>
    <w:rsid w:val="0047146D"/>
    <w:rsid w:val="0047154C"/>
    <w:rsid w:val="004717D2"/>
    <w:rsid w:val="004718C3"/>
    <w:rsid w:val="00471B3E"/>
    <w:rsid w:val="00471E58"/>
    <w:rsid w:val="00472339"/>
    <w:rsid w:val="004723A2"/>
    <w:rsid w:val="004725A3"/>
    <w:rsid w:val="00472693"/>
    <w:rsid w:val="004726FC"/>
    <w:rsid w:val="00472824"/>
    <w:rsid w:val="00472EAB"/>
    <w:rsid w:val="00473125"/>
    <w:rsid w:val="00473689"/>
    <w:rsid w:val="00473908"/>
    <w:rsid w:val="00473930"/>
    <w:rsid w:val="00473A7B"/>
    <w:rsid w:val="00473D49"/>
    <w:rsid w:val="0047422F"/>
    <w:rsid w:val="00474255"/>
    <w:rsid w:val="00474306"/>
    <w:rsid w:val="00474A02"/>
    <w:rsid w:val="00474A19"/>
    <w:rsid w:val="00474C15"/>
    <w:rsid w:val="00474FDB"/>
    <w:rsid w:val="00475028"/>
    <w:rsid w:val="00475269"/>
    <w:rsid w:val="0047527E"/>
    <w:rsid w:val="00475327"/>
    <w:rsid w:val="004755E4"/>
    <w:rsid w:val="00475A23"/>
    <w:rsid w:val="00475E86"/>
    <w:rsid w:val="00475F39"/>
    <w:rsid w:val="004761C3"/>
    <w:rsid w:val="004764EB"/>
    <w:rsid w:val="0047668E"/>
    <w:rsid w:val="004766E6"/>
    <w:rsid w:val="004767E7"/>
    <w:rsid w:val="00476B10"/>
    <w:rsid w:val="00476BA7"/>
    <w:rsid w:val="00476F96"/>
    <w:rsid w:val="00476FAA"/>
    <w:rsid w:val="00477ACC"/>
    <w:rsid w:val="00480160"/>
    <w:rsid w:val="0048019D"/>
    <w:rsid w:val="004801A5"/>
    <w:rsid w:val="00480CA6"/>
    <w:rsid w:val="00480E8D"/>
    <w:rsid w:val="00480F5C"/>
    <w:rsid w:val="00480FAF"/>
    <w:rsid w:val="00481292"/>
    <w:rsid w:val="00481990"/>
    <w:rsid w:val="0048278B"/>
    <w:rsid w:val="004828A9"/>
    <w:rsid w:val="00482DDF"/>
    <w:rsid w:val="00482E6A"/>
    <w:rsid w:val="00483736"/>
    <w:rsid w:val="0048394C"/>
    <w:rsid w:val="00483C68"/>
    <w:rsid w:val="00483E51"/>
    <w:rsid w:val="00483F78"/>
    <w:rsid w:val="0048406C"/>
    <w:rsid w:val="004842CC"/>
    <w:rsid w:val="004844B1"/>
    <w:rsid w:val="00484743"/>
    <w:rsid w:val="004848D2"/>
    <w:rsid w:val="0048516F"/>
    <w:rsid w:val="004852CE"/>
    <w:rsid w:val="00485802"/>
    <w:rsid w:val="00485D72"/>
    <w:rsid w:val="00485E87"/>
    <w:rsid w:val="004860D2"/>
    <w:rsid w:val="00486538"/>
    <w:rsid w:val="00486750"/>
    <w:rsid w:val="00486AAD"/>
    <w:rsid w:val="00486D51"/>
    <w:rsid w:val="00486F1F"/>
    <w:rsid w:val="0048725C"/>
    <w:rsid w:val="004874E7"/>
    <w:rsid w:val="00487975"/>
    <w:rsid w:val="00487C4F"/>
    <w:rsid w:val="00490257"/>
    <w:rsid w:val="004906CE"/>
    <w:rsid w:val="00490832"/>
    <w:rsid w:val="00490880"/>
    <w:rsid w:val="00490A7A"/>
    <w:rsid w:val="00490C3E"/>
    <w:rsid w:val="004912D4"/>
    <w:rsid w:val="004913A4"/>
    <w:rsid w:val="00491EA4"/>
    <w:rsid w:val="00492586"/>
    <w:rsid w:val="00492C05"/>
    <w:rsid w:val="00492E34"/>
    <w:rsid w:val="004930F6"/>
    <w:rsid w:val="00493146"/>
    <w:rsid w:val="00493411"/>
    <w:rsid w:val="00493BAE"/>
    <w:rsid w:val="00493D61"/>
    <w:rsid w:val="00493EB4"/>
    <w:rsid w:val="00493EC6"/>
    <w:rsid w:val="00493FA5"/>
    <w:rsid w:val="0049420E"/>
    <w:rsid w:val="004942CB"/>
    <w:rsid w:val="004943AC"/>
    <w:rsid w:val="004943B0"/>
    <w:rsid w:val="00494529"/>
    <w:rsid w:val="00494556"/>
    <w:rsid w:val="0049475A"/>
    <w:rsid w:val="00494B59"/>
    <w:rsid w:val="00494B7A"/>
    <w:rsid w:val="00494E44"/>
    <w:rsid w:val="00495025"/>
    <w:rsid w:val="00495A18"/>
    <w:rsid w:val="00495C1A"/>
    <w:rsid w:val="00495F29"/>
    <w:rsid w:val="00496042"/>
    <w:rsid w:val="00496184"/>
    <w:rsid w:val="004962CF"/>
    <w:rsid w:val="00496304"/>
    <w:rsid w:val="0049630D"/>
    <w:rsid w:val="00496609"/>
    <w:rsid w:val="004969B1"/>
    <w:rsid w:val="00496A02"/>
    <w:rsid w:val="00496B8A"/>
    <w:rsid w:val="00496CEA"/>
    <w:rsid w:val="00496D27"/>
    <w:rsid w:val="00497364"/>
    <w:rsid w:val="004976F1"/>
    <w:rsid w:val="00497738"/>
    <w:rsid w:val="004978D8"/>
    <w:rsid w:val="00497B1C"/>
    <w:rsid w:val="00497B38"/>
    <w:rsid w:val="00497BC9"/>
    <w:rsid w:val="00497C7A"/>
    <w:rsid w:val="00497DB4"/>
    <w:rsid w:val="00497E4C"/>
    <w:rsid w:val="004A0481"/>
    <w:rsid w:val="004A0D12"/>
    <w:rsid w:val="004A0F2F"/>
    <w:rsid w:val="004A0F75"/>
    <w:rsid w:val="004A106F"/>
    <w:rsid w:val="004A10C7"/>
    <w:rsid w:val="004A1171"/>
    <w:rsid w:val="004A14AB"/>
    <w:rsid w:val="004A14C0"/>
    <w:rsid w:val="004A193C"/>
    <w:rsid w:val="004A1C36"/>
    <w:rsid w:val="004A1F3A"/>
    <w:rsid w:val="004A21F1"/>
    <w:rsid w:val="004A2227"/>
    <w:rsid w:val="004A26DA"/>
    <w:rsid w:val="004A29C5"/>
    <w:rsid w:val="004A2CA6"/>
    <w:rsid w:val="004A2CC0"/>
    <w:rsid w:val="004A365E"/>
    <w:rsid w:val="004A391C"/>
    <w:rsid w:val="004A3A7E"/>
    <w:rsid w:val="004A3BD7"/>
    <w:rsid w:val="004A3D31"/>
    <w:rsid w:val="004A40C7"/>
    <w:rsid w:val="004A4344"/>
    <w:rsid w:val="004A4F32"/>
    <w:rsid w:val="004A4F43"/>
    <w:rsid w:val="004A4F72"/>
    <w:rsid w:val="004A51BC"/>
    <w:rsid w:val="004A55BE"/>
    <w:rsid w:val="004A56CD"/>
    <w:rsid w:val="004A571F"/>
    <w:rsid w:val="004A575B"/>
    <w:rsid w:val="004A580E"/>
    <w:rsid w:val="004A5B8C"/>
    <w:rsid w:val="004A5BE8"/>
    <w:rsid w:val="004A5C41"/>
    <w:rsid w:val="004A5C55"/>
    <w:rsid w:val="004A63C5"/>
    <w:rsid w:val="004A64AA"/>
    <w:rsid w:val="004A6829"/>
    <w:rsid w:val="004A6945"/>
    <w:rsid w:val="004A7181"/>
    <w:rsid w:val="004A7308"/>
    <w:rsid w:val="004A744D"/>
    <w:rsid w:val="004A759F"/>
    <w:rsid w:val="004A763A"/>
    <w:rsid w:val="004A76EA"/>
    <w:rsid w:val="004A7A62"/>
    <w:rsid w:val="004B020A"/>
    <w:rsid w:val="004B050F"/>
    <w:rsid w:val="004B0C79"/>
    <w:rsid w:val="004B1341"/>
    <w:rsid w:val="004B1E3A"/>
    <w:rsid w:val="004B25E7"/>
    <w:rsid w:val="004B279A"/>
    <w:rsid w:val="004B2979"/>
    <w:rsid w:val="004B2A60"/>
    <w:rsid w:val="004B2A65"/>
    <w:rsid w:val="004B2D0C"/>
    <w:rsid w:val="004B30A7"/>
    <w:rsid w:val="004B3B06"/>
    <w:rsid w:val="004B3C76"/>
    <w:rsid w:val="004B4609"/>
    <w:rsid w:val="004B4632"/>
    <w:rsid w:val="004B4669"/>
    <w:rsid w:val="004B48C8"/>
    <w:rsid w:val="004B4DBA"/>
    <w:rsid w:val="004B5127"/>
    <w:rsid w:val="004B51D4"/>
    <w:rsid w:val="004B51F7"/>
    <w:rsid w:val="004B5204"/>
    <w:rsid w:val="004B537A"/>
    <w:rsid w:val="004B5D70"/>
    <w:rsid w:val="004B6214"/>
    <w:rsid w:val="004B62ED"/>
    <w:rsid w:val="004B6579"/>
    <w:rsid w:val="004B67DE"/>
    <w:rsid w:val="004B682F"/>
    <w:rsid w:val="004B693E"/>
    <w:rsid w:val="004B6A5F"/>
    <w:rsid w:val="004B6A9F"/>
    <w:rsid w:val="004B6C24"/>
    <w:rsid w:val="004C03F6"/>
    <w:rsid w:val="004C0989"/>
    <w:rsid w:val="004C0994"/>
    <w:rsid w:val="004C0B5F"/>
    <w:rsid w:val="004C0BC1"/>
    <w:rsid w:val="004C0C1C"/>
    <w:rsid w:val="004C11A1"/>
    <w:rsid w:val="004C133C"/>
    <w:rsid w:val="004C16B0"/>
    <w:rsid w:val="004C187A"/>
    <w:rsid w:val="004C1A2C"/>
    <w:rsid w:val="004C1B75"/>
    <w:rsid w:val="004C1B8C"/>
    <w:rsid w:val="004C1E51"/>
    <w:rsid w:val="004C1E68"/>
    <w:rsid w:val="004C1F5C"/>
    <w:rsid w:val="004C2049"/>
    <w:rsid w:val="004C20A6"/>
    <w:rsid w:val="004C20B4"/>
    <w:rsid w:val="004C21E8"/>
    <w:rsid w:val="004C254F"/>
    <w:rsid w:val="004C316F"/>
    <w:rsid w:val="004C326C"/>
    <w:rsid w:val="004C350C"/>
    <w:rsid w:val="004C35D4"/>
    <w:rsid w:val="004C35E7"/>
    <w:rsid w:val="004C3705"/>
    <w:rsid w:val="004C3781"/>
    <w:rsid w:val="004C396F"/>
    <w:rsid w:val="004C3DAF"/>
    <w:rsid w:val="004C3E3C"/>
    <w:rsid w:val="004C455F"/>
    <w:rsid w:val="004C4F99"/>
    <w:rsid w:val="004C51D0"/>
    <w:rsid w:val="004C5293"/>
    <w:rsid w:val="004C53B1"/>
    <w:rsid w:val="004C5826"/>
    <w:rsid w:val="004C58DF"/>
    <w:rsid w:val="004C5ADB"/>
    <w:rsid w:val="004C5EE7"/>
    <w:rsid w:val="004C604B"/>
    <w:rsid w:val="004C6208"/>
    <w:rsid w:val="004C63DE"/>
    <w:rsid w:val="004C6C0D"/>
    <w:rsid w:val="004C6C6F"/>
    <w:rsid w:val="004C71BB"/>
    <w:rsid w:val="004C72D7"/>
    <w:rsid w:val="004C7347"/>
    <w:rsid w:val="004C7737"/>
    <w:rsid w:val="004D02A7"/>
    <w:rsid w:val="004D0BF0"/>
    <w:rsid w:val="004D0EC5"/>
    <w:rsid w:val="004D1195"/>
    <w:rsid w:val="004D1B6C"/>
    <w:rsid w:val="004D1D22"/>
    <w:rsid w:val="004D234B"/>
    <w:rsid w:val="004D243F"/>
    <w:rsid w:val="004D2550"/>
    <w:rsid w:val="004D26A8"/>
    <w:rsid w:val="004D27CE"/>
    <w:rsid w:val="004D289B"/>
    <w:rsid w:val="004D28B2"/>
    <w:rsid w:val="004D2E52"/>
    <w:rsid w:val="004D2FFA"/>
    <w:rsid w:val="004D3118"/>
    <w:rsid w:val="004D351B"/>
    <w:rsid w:val="004D3523"/>
    <w:rsid w:val="004D3852"/>
    <w:rsid w:val="004D3AEA"/>
    <w:rsid w:val="004D3C03"/>
    <w:rsid w:val="004D4029"/>
    <w:rsid w:val="004D428B"/>
    <w:rsid w:val="004D44FF"/>
    <w:rsid w:val="004D4572"/>
    <w:rsid w:val="004D475D"/>
    <w:rsid w:val="004D49CF"/>
    <w:rsid w:val="004D515C"/>
    <w:rsid w:val="004D570F"/>
    <w:rsid w:val="004D5C28"/>
    <w:rsid w:val="004D5E54"/>
    <w:rsid w:val="004D5F21"/>
    <w:rsid w:val="004D61FA"/>
    <w:rsid w:val="004D65C1"/>
    <w:rsid w:val="004D6758"/>
    <w:rsid w:val="004D6814"/>
    <w:rsid w:val="004D6938"/>
    <w:rsid w:val="004D6A1C"/>
    <w:rsid w:val="004D6F3E"/>
    <w:rsid w:val="004D6F66"/>
    <w:rsid w:val="004D6F86"/>
    <w:rsid w:val="004D7300"/>
    <w:rsid w:val="004D7939"/>
    <w:rsid w:val="004D7AE1"/>
    <w:rsid w:val="004D7DC1"/>
    <w:rsid w:val="004D7F88"/>
    <w:rsid w:val="004E04C1"/>
    <w:rsid w:val="004E0519"/>
    <w:rsid w:val="004E069E"/>
    <w:rsid w:val="004E071B"/>
    <w:rsid w:val="004E0BAF"/>
    <w:rsid w:val="004E0C2B"/>
    <w:rsid w:val="004E0E92"/>
    <w:rsid w:val="004E1225"/>
    <w:rsid w:val="004E1721"/>
    <w:rsid w:val="004E1A13"/>
    <w:rsid w:val="004E208D"/>
    <w:rsid w:val="004E24C3"/>
    <w:rsid w:val="004E25B3"/>
    <w:rsid w:val="004E2724"/>
    <w:rsid w:val="004E28DC"/>
    <w:rsid w:val="004E2B86"/>
    <w:rsid w:val="004E2C72"/>
    <w:rsid w:val="004E2E39"/>
    <w:rsid w:val="004E2E55"/>
    <w:rsid w:val="004E3451"/>
    <w:rsid w:val="004E3980"/>
    <w:rsid w:val="004E39D0"/>
    <w:rsid w:val="004E39D6"/>
    <w:rsid w:val="004E3AA3"/>
    <w:rsid w:val="004E3B85"/>
    <w:rsid w:val="004E4056"/>
    <w:rsid w:val="004E4934"/>
    <w:rsid w:val="004E4D2B"/>
    <w:rsid w:val="004E500D"/>
    <w:rsid w:val="004E504F"/>
    <w:rsid w:val="004E5232"/>
    <w:rsid w:val="004E57DB"/>
    <w:rsid w:val="004E60AD"/>
    <w:rsid w:val="004E617A"/>
    <w:rsid w:val="004E6270"/>
    <w:rsid w:val="004E6640"/>
    <w:rsid w:val="004E66BA"/>
    <w:rsid w:val="004E6811"/>
    <w:rsid w:val="004E6B5A"/>
    <w:rsid w:val="004E6D9A"/>
    <w:rsid w:val="004E70EE"/>
    <w:rsid w:val="004E72D6"/>
    <w:rsid w:val="004E7781"/>
    <w:rsid w:val="004E787A"/>
    <w:rsid w:val="004E7A37"/>
    <w:rsid w:val="004E7AE2"/>
    <w:rsid w:val="004E7CBB"/>
    <w:rsid w:val="004F00BE"/>
    <w:rsid w:val="004F03F7"/>
    <w:rsid w:val="004F043D"/>
    <w:rsid w:val="004F0677"/>
    <w:rsid w:val="004F098C"/>
    <w:rsid w:val="004F0CE5"/>
    <w:rsid w:val="004F0CF5"/>
    <w:rsid w:val="004F10BF"/>
    <w:rsid w:val="004F118B"/>
    <w:rsid w:val="004F1252"/>
    <w:rsid w:val="004F14D7"/>
    <w:rsid w:val="004F1615"/>
    <w:rsid w:val="004F16EE"/>
    <w:rsid w:val="004F1D8D"/>
    <w:rsid w:val="004F1EB5"/>
    <w:rsid w:val="004F2371"/>
    <w:rsid w:val="004F2BC6"/>
    <w:rsid w:val="004F2C22"/>
    <w:rsid w:val="004F2C23"/>
    <w:rsid w:val="004F3049"/>
    <w:rsid w:val="004F35B4"/>
    <w:rsid w:val="004F3BC9"/>
    <w:rsid w:val="004F3C11"/>
    <w:rsid w:val="004F3C8E"/>
    <w:rsid w:val="004F3D14"/>
    <w:rsid w:val="004F3D6A"/>
    <w:rsid w:val="004F3FA9"/>
    <w:rsid w:val="004F408A"/>
    <w:rsid w:val="004F43DE"/>
    <w:rsid w:val="004F44DF"/>
    <w:rsid w:val="004F4556"/>
    <w:rsid w:val="004F4849"/>
    <w:rsid w:val="004F4956"/>
    <w:rsid w:val="004F4B51"/>
    <w:rsid w:val="004F4C82"/>
    <w:rsid w:val="004F4F70"/>
    <w:rsid w:val="004F519C"/>
    <w:rsid w:val="004F520A"/>
    <w:rsid w:val="004F549F"/>
    <w:rsid w:val="004F54B4"/>
    <w:rsid w:val="004F58E2"/>
    <w:rsid w:val="004F593A"/>
    <w:rsid w:val="004F5DB6"/>
    <w:rsid w:val="004F60B6"/>
    <w:rsid w:val="004F60D1"/>
    <w:rsid w:val="004F617D"/>
    <w:rsid w:val="004F6240"/>
    <w:rsid w:val="004F63B4"/>
    <w:rsid w:val="004F6423"/>
    <w:rsid w:val="004F658C"/>
    <w:rsid w:val="004F66EB"/>
    <w:rsid w:val="004F66EC"/>
    <w:rsid w:val="004F6714"/>
    <w:rsid w:val="004F7163"/>
    <w:rsid w:val="004F7518"/>
    <w:rsid w:val="004F7A59"/>
    <w:rsid w:val="004F7BE6"/>
    <w:rsid w:val="004F7C52"/>
    <w:rsid w:val="004F7C9B"/>
    <w:rsid w:val="004F7EEC"/>
    <w:rsid w:val="00500196"/>
    <w:rsid w:val="005002C7"/>
    <w:rsid w:val="00500368"/>
    <w:rsid w:val="00500A4F"/>
    <w:rsid w:val="00501B44"/>
    <w:rsid w:val="00501B4E"/>
    <w:rsid w:val="0050232C"/>
    <w:rsid w:val="00502A5C"/>
    <w:rsid w:val="00502B31"/>
    <w:rsid w:val="0050352B"/>
    <w:rsid w:val="0050375B"/>
    <w:rsid w:val="00503B36"/>
    <w:rsid w:val="00503C5C"/>
    <w:rsid w:val="0050413A"/>
    <w:rsid w:val="0050423E"/>
    <w:rsid w:val="0050452C"/>
    <w:rsid w:val="00504760"/>
    <w:rsid w:val="005049D6"/>
    <w:rsid w:val="00504D2D"/>
    <w:rsid w:val="0050588A"/>
    <w:rsid w:val="00505A0B"/>
    <w:rsid w:val="005060CA"/>
    <w:rsid w:val="005063D9"/>
    <w:rsid w:val="00506C05"/>
    <w:rsid w:val="00506D84"/>
    <w:rsid w:val="00507388"/>
    <w:rsid w:val="00507454"/>
    <w:rsid w:val="005075A8"/>
    <w:rsid w:val="00507D52"/>
    <w:rsid w:val="00507DBF"/>
    <w:rsid w:val="00510262"/>
    <w:rsid w:val="00510316"/>
    <w:rsid w:val="005106F1"/>
    <w:rsid w:val="005108AE"/>
    <w:rsid w:val="00510CCD"/>
    <w:rsid w:val="005111B3"/>
    <w:rsid w:val="0051126F"/>
    <w:rsid w:val="0051151D"/>
    <w:rsid w:val="00511A7A"/>
    <w:rsid w:val="00511D5F"/>
    <w:rsid w:val="00511E91"/>
    <w:rsid w:val="00511F20"/>
    <w:rsid w:val="00511F40"/>
    <w:rsid w:val="0051202E"/>
    <w:rsid w:val="005120FA"/>
    <w:rsid w:val="005122BA"/>
    <w:rsid w:val="005123C7"/>
    <w:rsid w:val="0051265F"/>
    <w:rsid w:val="00512A4D"/>
    <w:rsid w:val="00513109"/>
    <w:rsid w:val="005133EB"/>
    <w:rsid w:val="005139C1"/>
    <w:rsid w:val="00513B3C"/>
    <w:rsid w:val="00514306"/>
    <w:rsid w:val="005144FF"/>
    <w:rsid w:val="005148E7"/>
    <w:rsid w:val="00514B10"/>
    <w:rsid w:val="00514E05"/>
    <w:rsid w:val="00514E91"/>
    <w:rsid w:val="00514ED6"/>
    <w:rsid w:val="00514F4D"/>
    <w:rsid w:val="00514FFF"/>
    <w:rsid w:val="00515405"/>
    <w:rsid w:val="005154F1"/>
    <w:rsid w:val="0051550F"/>
    <w:rsid w:val="005156A5"/>
    <w:rsid w:val="00515A7D"/>
    <w:rsid w:val="00515C61"/>
    <w:rsid w:val="00516360"/>
    <w:rsid w:val="005167EC"/>
    <w:rsid w:val="00516D3A"/>
    <w:rsid w:val="00516D72"/>
    <w:rsid w:val="005171FE"/>
    <w:rsid w:val="0051720B"/>
    <w:rsid w:val="005174C3"/>
    <w:rsid w:val="00517BE4"/>
    <w:rsid w:val="0052000B"/>
    <w:rsid w:val="0052003E"/>
    <w:rsid w:val="00520085"/>
    <w:rsid w:val="005201BB"/>
    <w:rsid w:val="005201FD"/>
    <w:rsid w:val="0052032A"/>
    <w:rsid w:val="005209B6"/>
    <w:rsid w:val="00521535"/>
    <w:rsid w:val="00521592"/>
    <w:rsid w:val="0052160D"/>
    <w:rsid w:val="0052174B"/>
    <w:rsid w:val="005219BA"/>
    <w:rsid w:val="005219BB"/>
    <w:rsid w:val="00521A3D"/>
    <w:rsid w:val="00522714"/>
    <w:rsid w:val="00522766"/>
    <w:rsid w:val="00522975"/>
    <w:rsid w:val="00522CA7"/>
    <w:rsid w:val="00522CE7"/>
    <w:rsid w:val="00523687"/>
    <w:rsid w:val="0052374E"/>
    <w:rsid w:val="00523A66"/>
    <w:rsid w:val="0052495A"/>
    <w:rsid w:val="005249C1"/>
    <w:rsid w:val="00524E26"/>
    <w:rsid w:val="005251EE"/>
    <w:rsid w:val="0052523C"/>
    <w:rsid w:val="005253D0"/>
    <w:rsid w:val="00525463"/>
    <w:rsid w:val="005255FF"/>
    <w:rsid w:val="0052583F"/>
    <w:rsid w:val="00525B7C"/>
    <w:rsid w:val="00525EFA"/>
    <w:rsid w:val="00525FEF"/>
    <w:rsid w:val="0052625B"/>
    <w:rsid w:val="00526505"/>
    <w:rsid w:val="00526599"/>
    <w:rsid w:val="00526664"/>
    <w:rsid w:val="0052677B"/>
    <w:rsid w:val="00526866"/>
    <w:rsid w:val="00526B2D"/>
    <w:rsid w:val="00526B92"/>
    <w:rsid w:val="0052740F"/>
    <w:rsid w:val="005274D7"/>
    <w:rsid w:val="0052779A"/>
    <w:rsid w:val="00527974"/>
    <w:rsid w:val="00527D82"/>
    <w:rsid w:val="00527DE3"/>
    <w:rsid w:val="00527F4D"/>
    <w:rsid w:val="00527FA8"/>
    <w:rsid w:val="00530504"/>
    <w:rsid w:val="00530B72"/>
    <w:rsid w:val="00530CEB"/>
    <w:rsid w:val="00530D2D"/>
    <w:rsid w:val="00530F40"/>
    <w:rsid w:val="00530F86"/>
    <w:rsid w:val="00530FA2"/>
    <w:rsid w:val="00531638"/>
    <w:rsid w:val="00531791"/>
    <w:rsid w:val="005317D2"/>
    <w:rsid w:val="00531869"/>
    <w:rsid w:val="005318B1"/>
    <w:rsid w:val="00531ACC"/>
    <w:rsid w:val="00531E92"/>
    <w:rsid w:val="00532254"/>
    <w:rsid w:val="00532393"/>
    <w:rsid w:val="005323BB"/>
    <w:rsid w:val="00532417"/>
    <w:rsid w:val="00532611"/>
    <w:rsid w:val="0053282A"/>
    <w:rsid w:val="00532C33"/>
    <w:rsid w:val="00532EFE"/>
    <w:rsid w:val="00533A89"/>
    <w:rsid w:val="00533C87"/>
    <w:rsid w:val="00533EAA"/>
    <w:rsid w:val="005342DF"/>
    <w:rsid w:val="00534334"/>
    <w:rsid w:val="00534722"/>
    <w:rsid w:val="005347A3"/>
    <w:rsid w:val="00534B2B"/>
    <w:rsid w:val="00534D29"/>
    <w:rsid w:val="0053503E"/>
    <w:rsid w:val="005352D6"/>
    <w:rsid w:val="005357E5"/>
    <w:rsid w:val="00536092"/>
    <w:rsid w:val="00536534"/>
    <w:rsid w:val="0053685A"/>
    <w:rsid w:val="005368F9"/>
    <w:rsid w:val="00536A48"/>
    <w:rsid w:val="00536A9F"/>
    <w:rsid w:val="00537219"/>
    <w:rsid w:val="00537441"/>
    <w:rsid w:val="005374D2"/>
    <w:rsid w:val="005376BA"/>
    <w:rsid w:val="005377DD"/>
    <w:rsid w:val="00537A85"/>
    <w:rsid w:val="00537D4B"/>
    <w:rsid w:val="0054052C"/>
    <w:rsid w:val="00540642"/>
    <w:rsid w:val="005408CB"/>
    <w:rsid w:val="00540C79"/>
    <w:rsid w:val="00540E86"/>
    <w:rsid w:val="00540EAB"/>
    <w:rsid w:val="00540F9A"/>
    <w:rsid w:val="005410BC"/>
    <w:rsid w:val="0054110C"/>
    <w:rsid w:val="00541950"/>
    <w:rsid w:val="00541B04"/>
    <w:rsid w:val="00541ED2"/>
    <w:rsid w:val="00542371"/>
    <w:rsid w:val="0054264F"/>
    <w:rsid w:val="00542686"/>
    <w:rsid w:val="00542790"/>
    <w:rsid w:val="00542A52"/>
    <w:rsid w:val="00542BE0"/>
    <w:rsid w:val="00542C20"/>
    <w:rsid w:val="00542CE1"/>
    <w:rsid w:val="00542E1B"/>
    <w:rsid w:val="00542FD6"/>
    <w:rsid w:val="0054360A"/>
    <w:rsid w:val="00543996"/>
    <w:rsid w:val="00543D3B"/>
    <w:rsid w:val="00544218"/>
    <w:rsid w:val="005442EF"/>
    <w:rsid w:val="005443D3"/>
    <w:rsid w:val="005443F0"/>
    <w:rsid w:val="00544626"/>
    <w:rsid w:val="00544A25"/>
    <w:rsid w:val="005452B6"/>
    <w:rsid w:val="0054549A"/>
    <w:rsid w:val="005455FD"/>
    <w:rsid w:val="00545701"/>
    <w:rsid w:val="00545B30"/>
    <w:rsid w:val="00545B6A"/>
    <w:rsid w:val="0054603F"/>
    <w:rsid w:val="005461D2"/>
    <w:rsid w:val="0054641B"/>
    <w:rsid w:val="005468FA"/>
    <w:rsid w:val="00546B8A"/>
    <w:rsid w:val="00546BD4"/>
    <w:rsid w:val="00546D42"/>
    <w:rsid w:val="00546E99"/>
    <w:rsid w:val="00546EC2"/>
    <w:rsid w:val="00546EDA"/>
    <w:rsid w:val="005478F7"/>
    <w:rsid w:val="00547C31"/>
    <w:rsid w:val="00547F92"/>
    <w:rsid w:val="00550816"/>
    <w:rsid w:val="00550E0E"/>
    <w:rsid w:val="00550F19"/>
    <w:rsid w:val="00551388"/>
    <w:rsid w:val="0055138A"/>
    <w:rsid w:val="0055151D"/>
    <w:rsid w:val="00551815"/>
    <w:rsid w:val="00551E7B"/>
    <w:rsid w:val="00552217"/>
    <w:rsid w:val="0055246A"/>
    <w:rsid w:val="00552751"/>
    <w:rsid w:val="00552774"/>
    <w:rsid w:val="0055283A"/>
    <w:rsid w:val="00552912"/>
    <w:rsid w:val="00552DDA"/>
    <w:rsid w:val="0055369D"/>
    <w:rsid w:val="00553794"/>
    <w:rsid w:val="00553B3C"/>
    <w:rsid w:val="00553D61"/>
    <w:rsid w:val="00553FE8"/>
    <w:rsid w:val="005540F8"/>
    <w:rsid w:val="005543BF"/>
    <w:rsid w:val="00554441"/>
    <w:rsid w:val="005545BF"/>
    <w:rsid w:val="00554751"/>
    <w:rsid w:val="0055475D"/>
    <w:rsid w:val="00554C1A"/>
    <w:rsid w:val="00554CB6"/>
    <w:rsid w:val="0055508C"/>
    <w:rsid w:val="005551A9"/>
    <w:rsid w:val="00555438"/>
    <w:rsid w:val="00555C55"/>
    <w:rsid w:val="00555C5C"/>
    <w:rsid w:val="005560F4"/>
    <w:rsid w:val="00556117"/>
    <w:rsid w:val="00556211"/>
    <w:rsid w:val="0055626E"/>
    <w:rsid w:val="00556835"/>
    <w:rsid w:val="00556853"/>
    <w:rsid w:val="00556B61"/>
    <w:rsid w:val="00556C96"/>
    <w:rsid w:val="0055702B"/>
    <w:rsid w:val="00557252"/>
    <w:rsid w:val="005575E6"/>
    <w:rsid w:val="00557743"/>
    <w:rsid w:val="00557AB5"/>
    <w:rsid w:val="00557F2A"/>
    <w:rsid w:val="00560674"/>
    <w:rsid w:val="00560675"/>
    <w:rsid w:val="00561035"/>
    <w:rsid w:val="00561063"/>
    <w:rsid w:val="0056128F"/>
    <w:rsid w:val="005619A1"/>
    <w:rsid w:val="005619D6"/>
    <w:rsid w:val="00561B00"/>
    <w:rsid w:val="00561EF0"/>
    <w:rsid w:val="00562174"/>
    <w:rsid w:val="005623CA"/>
    <w:rsid w:val="0056261E"/>
    <w:rsid w:val="00562739"/>
    <w:rsid w:val="005628CC"/>
    <w:rsid w:val="00562B28"/>
    <w:rsid w:val="00562DDF"/>
    <w:rsid w:val="00563077"/>
    <w:rsid w:val="00563441"/>
    <w:rsid w:val="0056377C"/>
    <w:rsid w:val="00563782"/>
    <w:rsid w:val="005640EA"/>
    <w:rsid w:val="005645F8"/>
    <w:rsid w:val="005647A1"/>
    <w:rsid w:val="005647E9"/>
    <w:rsid w:val="00564939"/>
    <w:rsid w:val="00564BE9"/>
    <w:rsid w:val="00564DA7"/>
    <w:rsid w:val="0056504D"/>
    <w:rsid w:val="00565056"/>
    <w:rsid w:val="00565248"/>
    <w:rsid w:val="005656ED"/>
    <w:rsid w:val="00565C9F"/>
    <w:rsid w:val="00565DC5"/>
    <w:rsid w:val="00565F84"/>
    <w:rsid w:val="00566349"/>
    <w:rsid w:val="00566363"/>
    <w:rsid w:val="005664E8"/>
    <w:rsid w:val="0056689D"/>
    <w:rsid w:val="00566DDC"/>
    <w:rsid w:val="00566DDD"/>
    <w:rsid w:val="005673CD"/>
    <w:rsid w:val="00567626"/>
    <w:rsid w:val="0056767C"/>
    <w:rsid w:val="00567970"/>
    <w:rsid w:val="00567978"/>
    <w:rsid w:val="00567EE1"/>
    <w:rsid w:val="00570024"/>
    <w:rsid w:val="005702E3"/>
    <w:rsid w:val="005704B1"/>
    <w:rsid w:val="005704D7"/>
    <w:rsid w:val="00570923"/>
    <w:rsid w:val="005709A9"/>
    <w:rsid w:val="00570F1D"/>
    <w:rsid w:val="00570FBA"/>
    <w:rsid w:val="00571B3C"/>
    <w:rsid w:val="00571BA0"/>
    <w:rsid w:val="00571F6E"/>
    <w:rsid w:val="005720C4"/>
    <w:rsid w:val="005721A0"/>
    <w:rsid w:val="00572861"/>
    <w:rsid w:val="00572A0B"/>
    <w:rsid w:val="00572F95"/>
    <w:rsid w:val="005730A8"/>
    <w:rsid w:val="0057335B"/>
    <w:rsid w:val="00573C37"/>
    <w:rsid w:val="00573F92"/>
    <w:rsid w:val="005740C9"/>
    <w:rsid w:val="0057498E"/>
    <w:rsid w:val="00574B15"/>
    <w:rsid w:val="00574C5D"/>
    <w:rsid w:val="00574E51"/>
    <w:rsid w:val="0057517D"/>
    <w:rsid w:val="00575623"/>
    <w:rsid w:val="0057565B"/>
    <w:rsid w:val="00575728"/>
    <w:rsid w:val="00575841"/>
    <w:rsid w:val="00575D10"/>
    <w:rsid w:val="005762C8"/>
    <w:rsid w:val="00576535"/>
    <w:rsid w:val="00576890"/>
    <w:rsid w:val="005768EC"/>
    <w:rsid w:val="00576B1B"/>
    <w:rsid w:val="00576CA6"/>
    <w:rsid w:val="00576CDE"/>
    <w:rsid w:val="00576FDD"/>
    <w:rsid w:val="0057701D"/>
    <w:rsid w:val="00577110"/>
    <w:rsid w:val="005773D7"/>
    <w:rsid w:val="0057740B"/>
    <w:rsid w:val="0057749D"/>
    <w:rsid w:val="0057760C"/>
    <w:rsid w:val="005778A1"/>
    <w:rsid w:val="00577909"/>
    <w:rsid w:val="00577B4D"/>
    <w:rsid w:val="00577EC0"/>
    <w:rsid w:val="005803CD"/>
    <w:rsid w:val="00580640"/>
    <w:rsid w:val="00580827"/>
    <w:rsid w:val="00580945"/>
    <w:rsid w:val="0058116F"/>
    <w:rsid w:val="005815B9"/>
    <w:rsid w:val="00581711"/>
    <w:rsid w:val="005817D4"/>
    <w:rsid w:val="00581DFA"/>
    <w:rsid w:val="00582079"/>
    <w:rsid w:val="0058258E"/>
    <w:rsid w:val="005825BF"/>
    <w:rsid w:val="00582653"/>
    <w:rsid w:val="00582881"/>
    <w:rsid w:val="00582C19"/>
    <w:rsid w:val="00582C5B"/>
    <w:rsid w:val="00582C6B"/>
    <w:rsid w:val="00582D5E"/>
    <w:rsid w:val="0058337F"/>
    <w:rsid w:val="00583427"/>
    <w:rsid w:val="0058348D"/>
    <w:rsid w:val="005839D0"/>
    <w:rsid w:val="005839E5"/>
    <w:rsid w:val="00583A9E"/>
    <w:rsid w:val="00583BBC"/>
    <w:rsid w:val="00583CB3"/>
    <w:rsid w:val="00583E35"/>
    <w:rsid w:val="00583E52"/>
    <w:rsid w:val="00583E73"/>
    <w:rsid w:val="0058457C"/>
    <w:rsid w:val="0058458C"/>
    <w:rsid w:val="005845BF"/>
    <w:rsid w:val="00584949"/>
    <w:rsid w:val="005855CF"/>
    <w:rsid w:val="005857B5"/>
    <w:rsid w:val="005859AF"/>
    <w:rsid w:val="00585AD8"/>
    <w:rsid w:val="00585B12"/>
    <w:rsid w:val="005861CB"/>
    <w:rsid w:val="005861EE"/>
    <w:rsid w:val="00586537"/>
    <w:rsid w:val="005870BB"/>
    <w:rsid w:val="0058735F"/>
    <w:rsid w:val="00587408"/>
    <w:rsid w:val="005878BE"/>
    <w:rsid w:val="005879C1"/>
    <w:rsid w:val="00587B1D"/>
    <w:rsid w:val="00587C25"/>
    <w:rsid w:val="00587EEC"/>
    <w:rsid w:val="00587F49"/>
    <w:rsid w:val="00587FF6"/>
    <w:rsid w:val="0059025B"/>
    <w:rsid w:val="005904F2"/>
    <w:rsid w:val="00590566"/>
    <w:rsid w:val="005907AC"/>
    <w:rsid w:val="00590E09"/>
    <w:rsid w:val="00590E78"/>
    <w:rsid w:val="00591041"/>
    <w:rsid w:val="005911CC"/>
    <w:rsid w:val="0059149A"/>
    <w:rsid w:val="0059152C"/>
    <w:rsid w:val="005922A2"/>
    <w:rsid w:val="0059232B"/>
    <w:rsid w:val="00592503"/>
    <w:rsid w:val="00592621"/>
    <w:rsid w:val="00592C77"/>
    <w:rsid w:val="00592CA8"/>
    <w:rsid w:val="00592EBD"/>
    <w:rsid w:val="00593070"/>
    <w:rsid w:val="00593167"/>
    <w:rsid w:val="0059363C"/>
    <w:rsid w:val="00593AFD"/>
    <w:rsid w:val="00593E39"/>
    <w:rsid w:val="005944F9"/>
    <w:rsid w:val="00594A6E"/>
    <w:rsid w:val="00594B1C"/>
    <w:rsid w:val="0059536D"/>
    <w:rsid w:val="005956D5"/>
    <w:rsid w:val="00595A47"/>
    <w:rsid w:val="00595A59"/>
    <w:rsid w:val="00595A60"/>
    <w:rsid w:val="00595B3E"/>
    <w:rsid w:val="00595C59"/>
    <w:rsid w:val="0059606C"/>
    <w:rsid w:val="00596230"/>
    <w:rsid w:val="00596433"/>
    <w:rsid w:val="005965B4"/>
    <w:rsid w:val="005969D4"/>
    <w:rsid w:val="00596AC6"/>
    <w:rsid w:val="00596B90"/>
    <w:rsid w:val="00596D53"/>
    <w:rsid w:val="005971FA"/>
    <w:rsid w:val="005973E8"/>
    <w:rsid w:val="005975C0"/>
    <w:rsid w:val="00597894"/>
    <w:rsid w:val="005979C4"/>
    <w:rsid w:val="005A025A"/>
    <w:rsid w:val="005A0332"/>
    <w:rsid w:val="005A0557"/>
    <w:rsid w:val="005A05B5"/>
    <w:rsid w:val="005A07A3"/>
    <w:rsid w:val="005A0A7B"/>
    <w:rsid w:val="005A0B41"/>
    <w:rsid w:val="005A0BF2"/>
    <w:rsid w:val="005A0CC4"/>
    <w:rsid w:val="005A1229"/>
    <w:rsid w:val="005A1336"/>
    <w:rsid w:val="005A13E0"/>
    <w:rsid w:val="005A146A"/>
    <w:rsid w:val="005A1B3C"/>
    <w:rsid w:val="005A1D15"/>
    <w:rsid w:val="005A1F10"/>
    <w:rsid w:val="005A23CE"/>
    <w:rsid w:val="005A25F2"/>
    <w:rsid w:val="005A2833"/>
    <w:rsid w:val="005A2BBA"/>
    <w:rsid w:val="005A2DD7"/>
    <w:rsid w:val="005A31CB"/>
    <w:rsid w:val="005A31FB"/>
    <w:rsid w:val="005A34F0"/>
    <w:rsid w:val="005A36D5"/>
    <w:rsid w:val="005A3E5A"/>
    <w:rsid w:val="005A3FF1"/>
    <w:rsid w:val="005A400B"/>
    <w:rsid w:val="005A40FE"/>
    <w:rsid w:val="005A434C"/>
    <w:rsid w:val="005A459A"/>
    <w:rsid w:val="005A51DC"/>
    <w:rsid w:val="005A51EF"/>
    <w:rsid w:val="005A55F1"/>
    <w:rsid w:val="005A5DE0"/>
    <w:rsid w:val="005A5E34"/>
    <w:rsid w:val="005A5F6B"/>
    <w:rsid w:val="005A5FA0"/>
    <w:rsid w:val="005A657C"/>
    <w:rsid w:val="005A6898"/>
    <w:rsid w:val="005A69BE"/>
    <w:rsid w:val="005A6ADB"/>
    <w:rsid w:val="005A6FF8"/>
    <w:rsid w:val="005A716D"/>
    <w:rsid w:val="005A7367"/>
    <w:rsid w:val="005A777C"/>
    <w:rsid w:val="005A7C82"/>
    <w:rsid w:val="005A7F24"/>
    <w:rsid w:val="005A7F92"/>
    <w:rsid w:val="005A7FB7"/>
    <w:rsid w:val="005B0547"/>
    <w:rsid w:val="005B080C"/>
    <w:rsid w:val="005B1030"/>
    <w:rsid w:val="005B146B"/>
    <w:rsid w:val="005B14C5"/>
    <w:rsid w:val="005B1771"/>
    <w:rsid w:val="005B1FE5"/>
    <w:rsid w:val="005B221C"/>
    <w:rsid w:val="005B22DD"/>
    <w:rsid w:val="005B2416"/>
    <w:rsid w:val="005B2974"/>
    <w:rsid w:val="005B2B18"/>
    <w:rsid w:val="005B3133"/>
    <w:rsid w:val="005B3209"/>
    <w:rsid w:val="005B3902"/>
    <w:rsid w:val="005B3A6A"/>
    <w:rsid w:val="005B3B7C"/>
    <w:rsid w:val="005B3EC7"/>
    <w:rsid w:val="005B3EEA"/>
    <w:rsid w:val="005B4360"/>
    <w:rsid w:val="005B453F"/>
    <w:rsid w:val="005B4919"/>
    <w:rsid w:val="005B4CB8"/>
    <w:rsid w:val="005B4CD3"/>
    <w:rsid w:val="005B4DC8"/>
    <w:rsid w:val="005B530F"/>
    <w:rsid w:val="005B5CD3"/>
    <w:rsid w:val="005B5ECB"/>
    <w:rsid w:val="005B607D"/>
    <w:rsid w:val="005B61D3"/>
    <w:rsid w:val="005B6533"/>
    <w:rsid w:val="005B6583"/>
    <w:rsid w:val="005B65DF"/>
    <w:rsid w:val="005B6865"/>
    <w:rsid w:val="005B68BD"/>
    <w:rsid w:val="005B6A00"/>
    <w:rsid w:val="005B6B2C"/>
    <w:rsid w:val="005B6F47"/>
    <w:rsid w:val="005B703F"/>
    <w:rsid w:val="005B705B"/>
    <w:rsid w:val="005B73F3"/>
    <w:rsid w:val="005B76AB"/>
    <w:rsid w:val="005B779C"/>
    <w:rsid w:val="005B7A02"/>
    <w:rsid w:val="005C0390"/>
    <w:rsid w:val="005C0857"/>
    <w:rsid w:val="005C0A48"/>
    <w:rsid w:val="005C0B5B"/>
    <w:rsid w:val="005C0C8D"/>
    <w:rsid w:val="005C0CE6"/>
    <w:rsid w:val="005C0E02"/>
    <w:rsid w:val="005C0EEB"/>
    <w:rsid w:val="005C0F3C"/>
    <w:rsid w:val="005C0F8E"/>
    <w:rsid w:val="005C1749"/>
    <w:rsid w:val="005C1AF5"/>
    <w:rsid w:val="005C1B26"/>
    <w:rsid w:val="005C1CF8"/>
    <w:rsid w:val="005C214D"/>
    <w:rsid w:val="005C22AD"/>
    <w:rsid w:val="005C26CC"/>
    <w:rsid w:val="005C2C11"/>
    <w:rsid w:val="005C2E3C"/>
    <w:rsid w:val="005C2ED3"/>
    <w:rsid w:val="005C38ED"/>
    <w:rsid w:val="005C457B"/>
    <w:rsid w:val="005C48F6"/>
    <w:rsid w:val="005C4993"/>
    <w:rsid w:val="005C4F41"/>
    <w:rsid w:val="005C4FA5"/>
    <w:rsid w:val="005C50EC"/>
    <w:rsid w:val="005C51DB"/>
    <w:rsid w:val="005C52AE"/>
    <w:rsid w:val="005C54CD"/>
    <w:rsid w:val="005C5BCB"/>
    <w:rsid w:val="005C5E11"/>
    <w:rsid w:val="005C5F27"/>
    <w:rsid w:val="005C6653"/>
    <w:rsid w:val="005C6699"/>
    <w:rsid w:val="005C7078"/>
    <w:rsid w:val="005C719F"/>
    <w:rsid w:val="005C75C0"/>
    <w:rsid w:val="005C78A4"/>
    <w:rsid w:val="005C7BD1"/>
    <w:rsid w:val="005C7E58"/>
    <w:rsid w:val="005C7F45"/>
    <w:rsid w:val="005D0314"/>
    <w:rsid w:val="005D0424"/>
    <w:rsid w:val="005D063B"/>
    <w:rsid w:val="005D0701"/>
    <w:rsid w:val="005D07F0"/>
    <w:rsid w:val="005D0883"/>
    <w:rsid w:val="005D09C0"/>
    <w:rsid w:val="005D09E4"/>
    <w:rsid w:val="005D0D49"/>
    <w:rsid w:val="005D0EBA"/>
    <w:rsid w:val="005D11B4"/>
    <w:rsid w:val="005D11B6"/>
    <w:rsid w:val="005D1589"/>
    <w:rsid w:val="005D1929"/>
    <w:rsid w:val="005D198E"/>
    <w:rsid w:val="005D1AC2"/>
    <w:rsid w:val="005D1B21"/>
    <w:rsid w:val="005D1F64"/>
    <w:rsid w:val="005D20F4"/>
    <w:rsid w:val="005D256A"/>
    <w:rsid w:val="005D2953"/>
    <w:rsid w:val="005D3315"/>
    <w:rsid w:val="005D3329"/>
    <w:rsid w:val="005D4661"/>
    <w:rsid w:val="005D4784"/>
    <w:rsid w:val="005D496F"/>
    <w:rsid w:val="005D4997"/>
    <w:rsid w:val="005D49A0"/>
    <w:rsid w:val="005D4D0B"/>
    <w:rsid w:val="005D4EAA"/>
    <w:rsid w:val="005D5093"/>
    <w:rsid w:val="005D538A"/>
    <w:rsid w:val="005D55A5"/>
    <w:rsid w:val="005D567B"/>
    <w:rsid w:val="005D5BB3"/>
    <w:rsid w:val="005D5BCC"/>
    <w:rsid w:val="005D5F1F"/>
    <w:rsid w:val="005D62B3"/>
    <w:rsid w:val="005D6319"/>
    <w:rsid w:val="005D6977"/>
    <w:rsid w:val="005D6B84"/>
    <w:rsid w:val="005D6FCC"/>
    <w:rsid w:val="005D70D5"/>
    <w:rsid w:val="005D72C3"/>
    <w:rsid w:val="005D7445"/>
    <w:rsid w:val="005D7BAD"/>
    <w:rsid w:val="005D7CF9"/>
    <w:rsid w:val="005E0234"/>
    <w:rsid w:val="005E0395"/>
    <w:rsid w:val="005E03A3"/>
    <w:rsid w:val="005E03A7"/>
    <w:rsid w:val="005E05B1"/>
    <w:rsid w:val="005E098D"/>
    <w:rsid w:val="005E0B82"/>
    <w:rsid w:val="005E0C22"/>
    <w:rsid w:val="005E0F41"/>
    <w:rsid w:val="005E1072"/>
    <w:rsid w:val="005E11C6"/>
    <w:rsid w:val="005E1291"/>
    <w:rsid w:val="005E148B"/>
    <w:rsid w:val="005E15D5"/>
    <w:rsid w:val="005E1868"/>
    <w:rsid w:val="005E1BE4"/>
    <w:rsid w:val="005E1D25"/>
    <w:rsid w:val="005E2143"/>
    <w:rsid w:val="005E276A"/>
    <w:rsid w:val="005E27A6"/>
    <w:rsid w:val="005E3026"/>
    <w:rsid w:val="005E3303"/>
    <w:rsid w:val="005E3315"/>
    <w:rsid w:val="005E33D6"/>
    <w:rsid w:val="005E3980"/>
    <w:rsid w:val="005E3CAA"/>
    <w:rsid w:val="005E3D30"/>
    <w:rsid w:val="005E4259"/>
    <w:rsid w:val="005E4579"/>
    <w:rsid w:val="005E4C24"/>
    <w:rsid w:val="005E5181"/>
    <w:rsid w:val="005E534F"/>
    <w:rsid w:val="005E5365"/>
    <w:rsid w:val="005E5536"/>
    <w:rsid w:val="005E5708"/>
    <w:rsid w:val="005E5A04"/>
    <w:rsid w:val="005E5C39"/>
    <w:rsid w:val="005E5E2F"/>
    <w:rsid w:val="005E5F02"/>
    <w:rsid w:val="005E5FC3"/>
    <w:rsid w:val="005E6150"/>
    <w:rsid w:val="005E627D"/>
    <w:rsid w:val="005E63B4"/>
    <w:rsid w:val="005E6560"/>
    <w:rsid w:val="005E6710"/>
    <w:rsid w:val="005E697A"/>
    <w:rsid w:val="005E6C9E"/>
    <w:rsid w:val="005E6EB5"/>
    <w:rsid w:val="005E71C7"/>
    <w:rsid w:val="005E733A"/>
    <w:rsid w:val="005E7649"/>
    <w:rsid w:val="005E7BEE"/>
    <w:rsid w:val="005E7C79"/>
    <w:rsid w:val="005E7CDD"/>
    <w:rsid w:val="005E7D1C"/>
    <w:rsid w:val="005E7EA3"/>
    <w:rsid w:val="005F014F"/>
    <w:rsid w:val="005F07C6"/>
    <w:rsid w:val="005F0C3E"/>
    <w:rsid w:val="005F1553"/>
    <w:rsid w:val="005F16CF"/>
    <w:rsid w:val="005F1764"/>
    <w:rsid w:val="005F17A4"/>
    <w:rsid w:val="005F1C14"/>
    <w:rsid w:val="005F1CE4"/>
    <w:rsid w:val="005F1EC5"/>
    <w:rsid w:val="005F2440"/>
    <w:rsid w:val="005F2FCB"/>
    <w:rsid w:val="005F329F"/>
    <w:rsid w:val="005F367C"/>
    <w:rsid w:val="005F3734"/>
    <w:rsid w:val="005F3831"/>
    <w:rsid w:val="005F3EA3"/>
    <w:rsid w:val="005F40F9"/>
    <w:rsid w:val="005F417E"/>
    <w:rsid w:val="005F4698"/>
    <w:rsid w:val="005F47F5"/>
    <w:rsid w:val="005F4809"/>
    <w:rsid w:val="005F48B0"/>
    <w:rsid w:val="005F4BC4"/>
    <w:rsid w:val="005F4D5A"/>
    <w:rsid w:val="005F4EBC"/>
    <w:rsid w:val="005F4FC8"/>
    <w:rsid w:val="005F5265"/>
    <w:rsid w:val="005F5464"/>
    <w:rsid w:val="005F5474"/>
    <w:rsid w:val="005F54AE"/>
    <w:rsid w:val="005F55CB"/>
    <w:rsid w:val="005F5780"/>
    <w:rsid w:val="005F59C9"/>
    <w:rsid w:val="005F5C4A"/>
    <w:rsid w:val="005F5F0C"/>
    <w:rsid w:val="005F67B6"/>
    <w:rsid w:val="005F6AEE"/>
    <w:rsid w:val="005F6D54"/>
    <w:rsid w:val="005F6F81"/>
    <w:rsid w:val="005F734B"/>
    <w:rsid w:val="005F7B3C"/>
    <w:rsid w:val="005F7B8D"/>
    <w:rsid w:val="005F7DAA"/>
    <w:rsid w:val="005F7DB8"/>
    <w:rsid w:val="006001D8"/>
    <w:rsid w:val="00600273"/>
    <w:rsid w:val="00600462"/>
    <w:rsid w:val="006004BA"/>
    <w:rsid w:val="00600530"/>
    <w:rsid w:val="00600B2A"/>
    <w:rsid w:val="00600DCA"/>
    <w:rsid w:val="00600F64"/>
    <w:rsid w:val="0060107B"/>
    <w:rsid w:val="0060119A"/>
    <w:rsid w:val="0060138A"/>
    <w:rsid w:val="0060155B"/>
    <w:rsid w:val="006015DF"/>
    <w:rsid w:val="006016F0"/>
    <w:rsid w:val="00601830"/>
    <w:rsid w:val="00601941"/>
    <w:rsid w:val="00602059"/>
    <w:rsid w:val="0060218F"/>
    <w:rsid w:val="006021A4"/>
    <w:rsid w:val="00602451"/>
    <w:rsid w:val="00602742"/>
    <w:rsid w:val="0060304B"/>
    <w:rsid w:val="00603087"/>
    <w:rsid w:val="0060341A"/>
    <w:rsid w:val="0060353A"/>
    <w:rsid w:val="006039F0"/>
    <w:rsid w:val="00603C9B"/>
    <w:rsid w:val="0060421F"/>
    <w:rsid w:val="006045B9"/>
    <w:rsid w:val="0060515D"/>
    <w:rsid w:val="00605529"/>
    <w:rsid w:val="00605AB5"/>
    <w:rsid w:val="00605ABC"/>
    <w:rsid w:val="00605AF0"/>
    <w:rsid w:val="00605C60"/>
    <w:rsid w:val="00605C8A"/>
    <w:rsid w:val="00605D6A"/>
    <w:rsid w:val="00605F0C"/>
    <w:rsid w:val="00606294"/>
    <w:rsid w:val="006062A2"/>
    <w:rsid w:val="0060679A"/>
    <w:rsid w:val="006067A7"/>
    <w:rsid w:val="00606ACE"/>
    <w:rsid w:val="00607148"/>
    <w:rsid w:val="00607283"/>
    <w:rsid w:val="00607987"/>
    <w:rsid w:val="00607A86"/>
    <w:rsid w:val="00607CC9"/>
    <w:rsid w:val="00607DFB"/>
    <w:rsid w:val="00607F2E"/>
    <w:rsid w:val="0061068B"/>
    <w:rsid w:val="00610892"/>
    <w:rsid w:val="00610934"/>
    <w:rsid w:val="00610BAB"/>
    <w:rsid w:val="00610EA4"/>
    <w:rsid w:val="006110BA"/>
    <w:rsid w:val="0061117B"/>
    <w:rsid w:val="006111E8"/>
    <w:rsid w:val="0061126D"/>
    <w:rsid w:val="006112BB"/>
    <w:rsid w:val="00611710"/>
    <w:rsid w:val="00611A8F"/>
    <w:rsid w:val="00611DB0"/>
    <w:rsid w:val="00611EDD"/>
    <w:rsid w:val="0061205C"/>
    <w:rsid w:val="006121BE"/>
    <w:rsid w:val="00612287"/>
    <w:rsid w:val="00612524"/>
    <w:rsid w:val="00612529"/>
    <w:rsid w:val="0061256A"/>
    <w:rsid w:val="00612D2D"/>
    <w:rsid w:val="00612E00"/>
    <w:rsid w:val="00612FF0"/>
    <w:rsid w:val="006131A7"/>
    <w:rsid w:val="006131D8"/>
    <w:rsid w:val="0061329B"/>
    <w:rsid w:val="00613538"/>
    <w:rsid w:val="00613B75"/>
    <w:rsid w:val="00613D8D"/>
    <w:rsid w:val="00613DD1"/>
    <w:rsid w:val="00614229"/>
    <w:rsid w:val="00614265"/>
    <w:rsid w:val="0061446E"/>
    <w:rsid w:val="00614775"/>
    <w:rsid w:val="00614D7B"/>
    <w:rsid w:val="00614EE2"/>
    <w:rsid w:val="00614F21"/>
    <w:rsid w:val="006152DE"/>
    <w:rsid w:val="0061553D"/>
    <w:rsid w:val="00615A90"/>
    <w:rsid w:val="00615B22"/>
    <w:rsid w:val="00615B6D"/>
    <w:rsid w:val="00615C3E"/>
    <w:rsid w:val="00615CA2"/>
    <w:rsid w:val="006161C2"/>
    <w:rsid w:val="00616C21"/>
    <w:rsid w:val="00616D3E"/>
    <w:rsid w:val="00616FCF"/>
    <w:rsid w:val="006178A3"/>
    <w:rsid w:val="00617962"/>
    <w:rsid w:val="00617B95"/>
    <w:rsid w:val="00617E2A"/>
    <w:rsid w:val="006200F5"/>
    <w:rsid w:val="006202D2"/>
    <w:rsid w:val="00620994"/>
    <w:rsid w:val="0062175A"/>
    <w:rsid w:val="00622302"/>
    <w:rsid w:val="006223D8"/>
    <w:rsid w:val="0062247A"/>
    <w:rsid w:val="006228DD"/>
    <w:rsid w:val="00622DD9"/>
    <w:rsid w:val="00623345"/>
    <w:rsid w:val="006234B6"/>
    <w:rsid w:val="006236BE"/>
    <w:rsid w:val="00623791"/>
    <w:rsid w:val="0062382E"/>
    <w:rsid w:val="00623A43"/>
    <w:rsid w:val="00623A78"/>
    <w:rsid w:val="0062407F"/>
    <w:rsid w:val="006242A1"/>
    <w:rsid w:val="006243E1"/>
    <w:rsid w:val="00624458"/>
    <w:rsid w:val="006244E1"/>
    <w:rsid w:val="006246BB"/>
    <w:rsid w:val="006248F3"/>
    <w:rsid w:val="0062496D"/>
    <w:rsid w:val="00624C33"/>
    <w:rsid w:val="00624CCB"/>
    <w:rsid w:val="00624FD4"/>
    <w:rsid w:val="00624FEE"/>
    <w:rsid w:val="00625362"/>
    <w:rsid w:val="00625476"/>
    <w:rsid w:val="0062592D"/>
    <w:rsid w:val="00625A1B"/>
    <w:rsid w:val="00625C78"/>
    <w:rsid w:val="00625DA4"/>
    <w:rsid w:val="00625F6B"/>
    <w:rsid w:val="006262CF"/>
    <w:rsid w:val="00626359"/>
    <w:rsid w:val="0062689F"/>
    <w:rsid w:val="006268E6"/>
    <w:rsid w:val="0062693D"/>
    <w:rsid w:val="006269C4"/>
    <w:rsid w:val="00626C4C"/>
    <w:rsid w:val="006273CF"/>
    <w:rsid w:val="006277C0"/>
    <w:rsid w:val="0062799F"/>
    <w:rsid w:val="00627EEA"/>
    <w:rsid w:val="006300C6"/>
    <w:rsid w:val="00630E3E"/>
    <w:rsid w:val="00630FBE"/>
    <w:rsid w:val="00631043"/>
    <w:rsid w:val="006310C3"/>
    <w:rsid w:val="00631206"/>
    <w:rsid w:val="00631621"/>
    <w:rsid w:val="00631667"/>
    <w:rsid w:val="0063176C"/>
    <w:rsid w:val="006317A4"/>
    <w:rsid w:val="00631A6F"/>
    <w:rsid w:val="00632171"/>
    <w:rsid w:val="00632C09"/>
    <w:rsid w:val="00632F76"/>
    <w:rsid w:val="00633254"/>
    <w:rsid w:val="00633306"/>
    <w:rsid w:val="00633381"/>
    <w:rsid w:val="0063343B"/>
    <w:rsid w:val="006334C7"/>
    <w:rsid w:val="006337AA"/>
    <w:rsid w:val="0063387E"/>
    <w:rsid w:val="00633BEE"/>
    <w:rsid w:val="00633E6C"/>
    <w:rsid w:val="0063416C"/>
    <w:rsid w:val="00634417"/>
    <w:rsid w:val="00634D13"/>
    <w:rsid w:val="00634F5C"/>
    <w:rsid w:val="00634F68"/>
    <w:rsid w:val="00635435"/>
    <w:rsid w:val="00635BFE"/>
    <w:rsid w:val="00635F45"/>
    <w:rsid w:val="00635FFE"/>
    <w:rsid w:val="00636282"/>
    <w:rsid w:val="00636313"/>
    <w:rsid w:val="006365DF"/>
    <w:rsid w:val="006375DD"/>
    <w:rsid w:val="00637628"/>
    <w:rsid w:val="006379CD"/>
    <w:rsid w:val="00637DD1"/>
    <w:rsid w:val="00637F90"/>
    <w:rsid w:val="0064018D"/>
    <w:rsid w:val="006401F0"/>
    <w:rsid w:val="00640353"/>
    <w:rsid w:val="006407FF"/>
    <w:rsid w:val="00640859"/>
    <w:rsid w:val="006408C6"/>
    <w:rsid w:val="00640905"/>
    <w:rsid w:val="00640CD5"/>
    <w:rsid w:val="00640ECF"/>
    <w:rsid w:val="00641191"/>
    <w:rsid w:val="00641582"/>
    <w:rsid w:val="006417E0"/>
    <w:rsid w:val="006417FF"/>
    <w:rsid w:val="006419E2"/>
    <w:rsid w:val="00641CD2"/>
    <w:rsid w:val="00641DF0"/>
    <w:rsid w:val="00641FD2"/>
    <w:rsid w:val="006425F0"/>
    <w:rsid w:val="00642A68"/>
    <w:rsid w:val="00642A6A"/>
    <w:rsid w:val="00642B5F"/>
    <w:rsid w:val="00642E27"/>
    <w:rsid w:val="00643482"/>
    <w:rsid w:val="0064359E"/>
    <w:rsid w:val="00643935"/>
    <w:rsid w:val="00643A9D"/>
    <w:rsid w:val="00644259"/>
    <w:rsid w:val="00644478"/>
    <w:rsid w:val="006444CC"/>
    <w:rsid w:val="006444E0"/>
    <w:rsid w:val="0064456A"/>
    <w:rsid w:val="006448A6"/>
    <w:rsid w:val="00644D37"/>
    <w:rsid w:val="00644D65"/>
    <w:rsid w:val="00644E56"/>
    <w:rsid w:val="00644EA8"/>
    <w:rsid w:val="00644EF9"/>
    <w:rsid w:val="00644F04"/>
    <w:rsid w:val="00645385"/>
    <w:rsid w:val="00645462"/>
    <w:rsid w:val="006454C5"/>
    <w:rsid w:val="006456DE"/>
    <w:rsid w:val="00645922"/>
    <w:rsid w:val="00645B1B"/>
    <w:rsid w:val="00645B2C"/>
    <w:rsid w:val="006462B1"/>
    <w:rsid w:val="00646443"/>
    <w:rsid w:val="00646A57"/>
    <w:rsid w:val="00646C0F"/>
    <w:rsid w:val="00646C58"/>
    <w:rsid w:val="00646D34"/>
    <w:rsid w:val="00646E4D"/>
    <w:rsid w:val="00646EA2"/>
    <w:rsid w:val="00647149"/>
    <w:rsid w:val="0064731A"/>
    <w:rsid w:val="0065014E"/>
    <w:rsid w:val="006502A9"/>
    <w:rsid w:val="0065062E"/>
    <w:rsid w:val="006507FD"/>
    <w:rsid w:val="00650912"/>
    <w:rsid w:val="006509DF"/>
    <w:rsid w:val="00650A41"/>
    <w:rsid w:val="00650FB5"/>
    <w:rsid w:val="00650FDD"/>
    <w:rsid w:val="00651048"/>
    <w:rsid w:val="006510AA"/>
    <w:rsid w:val="00651131"/>
    <w:rsid w:val="00651253"/>
    <w:rsid w:val="0065155E"/>
    <w:rsid w:val="006519E5"/>
    <w:rsid w:val="00651A9A"/>
    <w:rsid w:val="00651F6B"/>
    <w:rsid w:val="00652628"/>
    <w:rsid w:val="0065284E"/>
    <w:rsid w:val="006528BD"/>
    <w:rsid w:val="00652D69"/>
    <w:rsid w:val="00652F65"/>
    <w:rsid w:val="00653153"/>
    <w:rsid w:val="00653603"/>
    <w:rsid w:val="00653966"/>
    <w:rsid w:val="00653A94"/>
    <w:rsid w:val="006540D7"/>
    <w:rsid w:val="0065418A"/>
    <w:rsid w:val="00654295"/>
    <w:rsid w:val="00654297"/>
    <w:rsid w:val="006547E2"/>
    <w:rsid w:val="0065481F"/>
    <w:rsid w:val="00654D5F"/>
    <w:rsid w:val="00654E3E"/>
    <w:rsid w:val="00655086"/>
    <w:rsid w:val="00655376"/>
    <w:rsid w:val="0065561D"/>
    <w:rsid w:val="0065564E"/>
    <w:rsid w:val="00655914"/>
    <w:rsid w:val="00655D22"/>
    <w:rsid w:val="00655DA8"/>
    <w:rsid w:val="00655FE7"/>
    <w:rsid w:val="0065622D"/>
    <w:rsid w:val="00656311"/>
    <w:rsid w:val="0065655C"/>
    <w:rsid w:val="0065725B"/>
    <w:rsid w:val="006572A0"/>
    <w:rsid w:val="0065748F"/>
    <w:rsid w:val="00657C4A"/>
    <w:rsid w:val="00657C54"/>
    <w:rsid w:val="00657F03"/>
    <w:rsid w:val="006600C8"/>
    <w:rsid w:val="006608A9"/>
    <w:rsid w:val="00660A5A"/>
    <w:rsid w:val="00660AF2"/>
    <w:rsid w:val="00660C47"/>
    <w:rsid w:val="006614CB"/>
    <w:rsid w:val="0066203F"/>
    <w:rsid w:val="006624EF"/>
    <w:rsid w:val="00662865"/>
    <w:rsid w:val="006628C7"/>
    <w:rsid w:val="00662C4F"/>
    <w:rsid w:val="006632C9"/>
    <w:rsid w:val="00663313"/>
    <w:rsid w:val="006633DD"/>
    <w:rsid w:val="006634B6"/>
    <w:rsid w:val="006636EC"/>
    <w:rsid w:val="00664014"/>
    <w:rsid w:val="0066488F"/>
    <w:rsid w:val="00664B68"/>
    <w:rsid w:val="00664EA6"/>
    <w:rsid w:val="00665026"/>
    <w:rsid w:val="00665038"/>
    <w:rsid w:val="00665953"/>
    <w:rsid w:val="006659A3"/>
    <w:rsid w:val="00665C43"/>
    <w:rsid w:val="00665C54"/>
    <w:rsid w:val="00665F6B"/>
    <w:rsid w:val="00665FDB"/>
    <w:rsid w:val="00666555"/>
    <w:rsid w:val="00666589"/>
    <w:rsid w:val="006668C9"/>
    <w:rsid w:val="0066696F"/>
    <w:rsid w:val="00666D62"/>
    <w:rsid w:val="00666E96"/>
    <w:rsid w:val="00667219"/>
    <w:rsid w:val="00667526"/>
    <w:rsid w:val="00667723"/>
    <w:rsid w:val="0066780B"/>
    <w:rsid w:val="00667ACC"/>
    <w:rsid w:val="006701D3"/>
    <w:rsid w:val="00670651"/>
    <w:rsid w:val="00670767"/>
    <w:rsid w:val="00670B42"/>
    <w:rsid w:val="006710E5"/>
    <w:rsid w:val="006710FC"/>
    <w:rsid w:val="006710FD"/>
    <w:rsid w:val="0067147B"/>
    <w:rsid w:val="00671533"/>
    <w:rsid w:val="00671AAF"/>
    <w:rsid w:val="00671D3C"/>
    <w:rsid w:val="00671D48"/>
    <w:rsid w:val="00671F84"/>
    <w:rsid w:val="00672573"/>
    <w:rsid w:val="00672793"/>
    <w:rsid w:val="006733EC"/>
    <w:rsid w:val="00673748"/>
    <w:rsid w:val="006737D4"/>
    <w:rsid w:val="006739BE"/>
    <w:rsid w:val="006741D3"/>
    <w:rsid w:val="00674381"/>
    <w:rsid w:val="006743A1"/>
    <w:rsid w:val="00674526"/>
    <w:rsid w:val="0067455C"/>
    <w:rsid w:val="006749BC"/>
    <w:rsid w:val="00674BA7"/>
    <w:rsid w:val="00675103"/>
    <w:rsid w:val="006752CF"/>
    <w:rsid w:val="006753E9"/>
    <w:rsid w:val="006757C3"/>
    <w:rsid w:val="0067661B"/>
    <w:rsid w:val="0067675E"/>
    <w:rsid w:val="0067685A"/>
    <w:rsid w:val="006768EF"/>
    <w:rsid w:val="00676CA4"/>
    <w:rsid w:val="00676CE4"/>
    <w:rsid w:val="00676D2C"/>
    <w:rsid w:val="00676DC0"/>
    <w:rsid w:val="0067702B"/>
    <w:rsid w:val="00677067"/>
    <w:rsid w:val="00677227"/>
    <w:rsid w:val="00677AE8"/>
    <w:rsid w:val="00677D8A"/>
    <w:rsid w:val="00677D9F"/>
    <w:rsid w:val="00677DD2"/>
    <w:rsid w:val="00677DD6"/>
    <w:rsid w:val="00677EBF"/>
    <w:rsid w:val="00677F20"/>
    <w:rsid w:val="006803BB"/>
    <w:rsid w:val="0068060C"/>
    <w:rsid w:val="006806F8"/>
    <w:rsid w:val="00680B1F"/>
    <w:rsid w:val="00680BDC"/>
    <w:rsid w:val="00680C2F"/>
    <w:rsid w:val="00680D92"/>
    <w:rsid w:val="0068100D"/>
    <w:rsid w:val="00681181"/>
    <w:rsid w:val="0068118D"/>
    <w:rsid w:val="0068140A"/>
    <w:rsid w:val="00681650"/>
    <w:rsid w:val="006817EC"/>
    <w:rsid w:val="00681E4D"/>
    <w:rsid w:val="00681F43"/>
    <w:rsid w:val="00682082"/>
    <w:rsid w:val="006820FA"/>
    <w:rsid w:val="00682835"/>
    <w:rsid w:val="00682CCC"/>
    <w:rsid w:val="00682CE1"/>
    <w:rsid w:val="00682E1F"/>
    <w:rsid w:val="006835C5"/>
    <w:rsid w:val="00683768"/>
    <w:rsid w:val="0068376A"/>
    <w:rsid w:val="00683C6D"/>
    <w:rsid w:val="00683E4C"/>
    <w:rsid w:val="00683F85"/>
    <w:rsid w:val="00684091"/>
    <w:rsid w:val="006845CA"/>
    <w:rsid w:val="00684B2E"/>
    <w:rsid w:val="00684BB8"/>
    <w:rsid w:val="00684E4F"/>
    <w:rsid w:val="00684FD8"/>
    <w:rsid w:val="0068536B"/>
    <w:rsid w:val="00685414"/>
    <w:rsid w:val="006856CC"/>
    <w:rsid w:val="00685707"/>
    <w:rsid w:val="0068584B"/>
    <w:rsid w:val="00685F7E"/>
    <w:rsid w:val="0068677F"/>
    <w:rsid w:val="00686A09"/>
    <w:rsid w:val="00686A6A"/>
    <w:rsid w:val="00686DBA"/>
    <w:rsid w:val="00687543"/>
    <w:rsid w:val="006878D3"/>
    <w:rsid w:val="00687BE4"/>
    <w:rsid w:val="00687FEC"/>
    <w:rsid w:val="006901E6"/>
    <w:rsid w:val="006904AC"/>
    <w:rsid w:val="00690656"/>
    <w:rsid w:val="00690830"/>
    <w:rsid w:val="00690936"/>
    <w:rsid w:val="00690940"/>
    <w:rsid w:val="00690D58"/>
    <w:rsid w:val="00690EDE"/>
    <w:rsid w:val="00691210"/>
    <w:rsid w:val="0069122B"/>
    <w:rsid w:val="006912E9"/>
    <w:rsid w:val="00691331"/>
    <w:rsid w:val="0069135C"/>
    <w:rsid w:val="00691841"/>
    <w:rsid w:val="00691B28"/>
    <w:rsid w:val="00691C42"/>
    <w:rsid w:val="00691C43"/>
    <w:rsid w:val="00691CC3"/>
    <w:rsid w:val="00691DDA"/>
    <w:rsid w:val="00692782"/>
    <w:rsid w:val="0069283E"/>
    <w:rsid w:val="00692B3F"/>
    <w:rsid w:val="00692C90"/>
    <w:rsid w:val="00693170"/>
    <w:rsid w:val="006932DB"/>
    <w:rsid w:val="006932E8"/>
    <w:rsid w:val="0069346A"/>
    <w:rsid w:val="0069352B"/>
    <w:rsid w:val="00693627"/>
    <w:rsid w:val="006936C4"/>
    <w:rsid w:val="00693757"/>
    <w:rsid w:val="00693A66"/>
    <w:rsid w:val="00693D56"/>
    <w:rsid w:val="00693D96"/>
    <w:rsid w:val="0069427B"/>
    <w:rsid w:val="006942A3"/>
    <w:rsid w:val="006944E6"/>
    <w:rsid w:val="0069450A"/>
    <w:rsid w:val="00694568"/>
    <w:rsid w:val="00694760"/>
    <w:rsid w:val="0069492E"/>
    <w:rsid w:val="00694AFD"/>
    <w:rsid w:val="006950D5"/>
    <w:rsid w:val="00695264"/>
    <w:rsid w:val="0069545D"/>
    <w:rsid w:val="006957D5"/>
    <w:rsid w:val="00695FD1"/>
    <w:rsid w:val="00696338"/>
    <w:rsid w:val="006964D3"/>
    <w:rsid w:val="00696A5F"/>
    <w:rsid w:val="00696C9D"/>
    <w:rsid w:val="00696DB4"/>
    <w:rsid w:val="00696DDF"/>
    <w:rsid w:val="00696E64"/>
    <w:rsid w:val="00697051"/>
    <w:rsid w:val="006973C1"/>
    <w:rsid w:val="0069758B"/>
    <w:rsid w:val="006975B8"/>
    <w:rsid w:val="0069795B"/>
    <w:rsid w:val="00697A3E"/>
    <w:rsid w:val="00697B38"/>
    <w:rsid w:val="00697B65"/>
    <w:rsid w:val="00697F31"/>
    <w:rsid w:val="006A0129"/>
    <w:rsid w:val="006A0488"/>
    <w:rsid w:val="006A08DF"/>
    <w:rsid w:val="006A0A62"/>
    <w:rsid w:val="006A0AA6"/>
    <w:rsid w:val="006A0CAA"/>
    <w:rsid w:val="006A12B2"/>
    <w:rsid w:val="006A1484"/>
    <w:rsid w:val="006A162A"/>
    <w:rsid w:val="006A1697"/>
    <w:rsid w:val="006A1988"/>
    <w:rsid w:val="006A1DB1"/>
    <w:rsid w:val="006A1DDB"/>
    <w:rsid w:val="006A22D3"/>
    <w:rsid w:val="006A252E"/>
    <w:rsid w:val="006A25E1"/>
    <w:rsid w:val="006A2BFE"/>
    <w:rsid w:val="006A3189"/>
    <w:rsid w:val="006A3D13"/>
    <w:rsid w:val="006A3E3D"/>
    <w:rsid w:val="006A40AD"/>
    <w:rsid w:val="006A4357"/>
    <w:rsid w:val="006A45F9"/>
    <w:rsid w:val="006A47D8"/>
    <w:rsid w:val="006A4DBA"/>
    <w:rsid w:val="006A559F"/>
    <w:rsid w:val="006A5809"/>
    <w:rsid w:val="006A58AF"/>
    <w:rsid w:val="006A5A65"/>
    <w:rsid w:val="006A5E90"/>
    <w:rsid w:val="006A60AD"/>
    <w:rsid w:val="006A613E"/>
    <w:rsid w:val="006A6399"/>
    <w:rsid w:val="006A6447"/>
    <w:rsid w:val="006A6940"/>
    <w:rsid w:val="006A6EC4"/>
    <w:rsid w:val="006A7044"/>
    <w:rsid w:val="006A7290"/>
    <w:rsid w:val="006A7318"/>
    <w:rsid w:val="006A76F4"/>
    <w:rsid w:val="006A7712"/>
    <w:rsid w:val="006A77BB"/>
    <w:rsid w:val="006B03B8"/>
    <w:rsid w:val="006B05AA"/>
    <w:rsid w:val="006B0616"/>
    <w:rsid w:val="006B06BD"/>
    <w:rsid w:val="006B091E"/>
    <w:rsid w:val="006B0B2D"/>
    <w:rsid w:val="006B183B"/>
    <w:rsid w:val="006B1882"/>
    <w:rsid w:val="006B1D88"/>
    <w:rsid w:val="006B2182"/>
    <w:rsid w:val="006B22B9"/>
    <w:rsid w:val="006B2B56"/>
    <w:rsid w:val="006B2D7A"/>
    <w:rsid w:val="006B2D88"/>
    <w:rsid w:val="006B2E80"/>
    <w:rsid w:val="006B307D"/>
    <w:rsid w:val="006B32AE"/>
    <w:rsid w:val="006B35BD"/>
    <w:rsid w:val="006B3E09"/>
    <w:rsid w:val="006B3F03"/>
    <w:rsid w:val="006B430B"/>
    <w:rsid w:val="006B44F9"/>
    <w:rsid w:val="006B4FBF"/>
    <w:rsid w:val="006B50E6"/>
    <w:rsid w:val="006B5317"/>
    <w:rsid w:val="006B5756"/>
    <w:rsid w:val="006B5774"/>
    <w:rsid w:val="006B585F"/>
    <w:rsid w:val="006B5A19"/>
    <w:rsid w:val="006B64FD"/>
    <w:rsid w:val="006B65A8"/>
    <w:rsid w:val="006B688E"/>
    <w:rsid w:val="006B69C2"/>
    <w:rsid w:val="006B6C63"/>
    <w:rsid w:val="006B7370"/>
    <w:rsid w:val="006B7405"/>
    <w:rsid w:val="006B7A32"/>
    <w:rsid w:val="006B7E9B"/>
    <w:rsid w:val="006C0041"/>
    <w:rsid w:val="006C0116"/>
    <w:rsid w:val="006C016D"/>
    <w:rsid w:val="006C021D"/>
    <w:rsid w:val="006C0725"/>
    <w:rsid w:val="006C07A1"/>
    <w:rsid w:val="006C11F0"/>
    <w:rsid w:val="006C152D"/>
    <w:rsid w:val="006C19BD"/>
    <w:rsid w:val="006C1B48"/>
    <w:rsid w:val="006C1C42"/>
    <w:rsid w:val="006C1D08"/>
    <w:rsid w:val="006C1DDA"/>
    <w:rsid w:val="006C246A"/>
    <w:rsid w:val="006C24D5"/>
    <w:rsid w:val="006C29FC"/>
    <w:rsid w:val="006C2CED"/>
    <w:rsid w:val="006C35D2"/>
    <w:rsid w:val="006C3833"/>
    <w:rsid w:val="006C38ED"/>
    <w:rsid w:val="006C3EBD"/>
    <w:rsid w:val="006C4122"/>
    <w:rsid w:val="006C423B"/>
    <w:rsid w:val="006C4380"/>
    <w:rsid w:val="006C43EA"/>
    <w:rsid w:val="006C4498"/>
    <w:rsid w:val="006C4549"/>
    <w:rsid w:val="006C45A6"/>
    <w:rsid w:val="006C4BC0"/>
    <w:rsid w:val="006C4F65"/>
    <w:rsid w:val="006C4FC7"/>
    <w:rsid w:val="006C511D"/>
    <w:rsid w:val="006C5BAF"/>
    <w:rsid w:val="006C5C20"/>
    <w:rsid w:val="006C5D6E"/>
    <w:rsid w:val="006C5E10"/>
    <w:rsid w:val="006C5FD5"/>
    <w:rsid w:val="006C5FDA"/>
    <w:rsid w:val="006C5FF0"/>
    <w:rsid w:val="006C6150"/>
    <w:rsid w:val="006C6ADE"/>
    <w:rsid w:val="006C6E19"/>
    <w:rsid w:val="006C7583"/>
    <w:rsid w:val="006C78B4"/>
    <w:rsid w:val="006C7B80"/>
    <w:rsid w:val="006C7CE1"/>
    <w:rsid w:val="006C7F77"/>
    <w:rsid w:val="006D0033"/>
    <w:rsid w:val="006D0748"/>
    <w:rsid w:val="006D08A9"/>
    <w:rsid w:val="006D0A25"/>
    <w:rsid w:val="006D0D49"/>
    <w:rsid w:val="006D1340"/>
    <w:rsid w:val="006D14BF"/>
    <w:rsid w:val="006D1A09"/>
    <w:rsid w:val="006D1A66"/>
    <w:rsid w:val="006D1B69"/>
    <w:rsid w:val="006D1D4E"/>
    <w:rsid w:val="006D2033"/>
    <w:rsid w:val="006D20B0"/>
    <w:rsid w:val="006D21D4"/>
    <w:rsid w:val="006D2214"/>
    <w:rsid w:val="006D2351"/>
    <w:rsid w:val="006D238E"/>
    <w:rsid w:val="006D2692"/>
    <w:rsid w:val="006D2779"/>
    <w:rsid w:val="006D27AB"/>
    <w:rsid w:val="006D2976"/>
    <w:rsid w:val="006D2C67"/>
    <w:rsid w:val="006D2D54"/>
    <w:rsid w:val="006D2D88"/>
    <w:rsid w:val="006D2D93"/>
    <w:rsid w:val="006D30E7"/>
    <w:rsid w:val="006D3338"/>
    <w:rsid w:val="006D33C6"/>
    <w:rsid w:val="006D3606"/>
    <w:rsid w:val="006D3841"/>
    <w:rsid w:val="006D3B04"/>
    <w:rsid w:val="006D3B50"/>
    <w:rsid w:val="006D3EF1"/>
    <w:rsid w:val="006D4052"/>
    <w:rsid w:val="006D4080"/>
    <w:rsid w:val="006D4404"/>
    <w:rsid w:val="006D4ABE"/>
    <w:rsid w:val="006D4B62"/>
    <w:rsid w:val="006D4B83"/>
    <w:rsid w:val="006D4CE9"/>
    <w:rsid w:val="006D4D51"/>
    <w:rsid w:val="006D520A"/>
    <w:rsid w:val="006D5C54"/>
    <w:rsid w:val="006D6521"/>
    <w:rsid w:val="006D6962"/>
    <w:rsid w:val="006D6A2B"/>
    <w:rsid w:val="006D6B2C"/>
    <w:rsid w:val="006D6D37"/>
    <w:rsid w:val="006D6D5C"/>
    <w:rsid w:val="006D706D"/>
    <w:rsid w:val="006D7871"/>
    <w:rsid w:val="006D790C"/>
    <w:rsid w:val="006D7956"/>
    <w:rsid w:val="006D798E"/>
    <w:rsid w:val="006D7EA7"/>
    <w:rsid w:val="006E096E"/>
    <w:rsid w:val="006E0CA0"/>
    <w:rsid w:val="006E0DA4"/>
    <w:rsid w:val="006E0E06"/>
    <w:rsid w:val="006E0FC4"/>
    <w:rsid w:val="006E1316"/>
    <w:rsid w:val="006E15FE"/>
    <w:rsid w:val="006E162F"/>
    <w:rsid w:val="006E16E0"/>
    <w:rsid w:val="006E1D24"/>
    <w:rsid w:val="006E2105"/>
    <w:rsid w:val="006E254C"/>
    <w:rsid w:val="006E2599"/>
    <w:rsid w:val="006E26B4"/>
    <w:rsid w:val="006E28B2"/>
    <w:rsid w:val="006E2BB8"/>
    <w:rsid w:val="006E2C2E"/>
    <w:rsid w:val="006E2CA5"/>
    <w:rsid w:val="006E2EF3"/>
    <w:rsid w:val="006E3830"/>
    <w:rsid w:val="006E389A"/>
    <w:rsid w:val="006E39D1"/>
    <w:rsid w:val="006E4377"/>
    <w:rsid w:val="006E4E18"/>
    <w:rsid w:val="006E51E0"/>
    <w:rsid w:val="006E5356"/>
    <w:rsid w:val="006E560C"/>
    <w:rsid w:val="006E578F"/>
    <w:rsid w:val="006E58C1"/>
    <w:rsid w:val="006E5DDA"/>
    <w:rsid w:val="006E6291"/>
    <w:rsid w:val="006E6A01"/>
    <w:rsid w:val="006E6EF6"/>
    <w:rsid w:val="006E6F45"/>
    <w:rsid w:val="006E79B5"/>
    <w:rsid w:val="006E7E85"/>
    <w:rsid w:val="006F05A1"/>
    <w:rsid w:val="006F0AA9"/>
    <w:rsid w:val="006F0B43"/>
    <w:rsid w:val="006F0C3A"/>
    <w:rsid w:val="006F0C69"/>
    <w:rsid w:val="006F0C8D"/>
    <w:rsid w:val="006F0DDA"/>
    <w:rsid w:val="006F0F0B"/>
    <w:rsid w:val="006F1033"/>
    <w:rsid w:val="006F1253"/>
    <w:rsid w:val="006F1724"/>
    <w:rsid w:val="006F1791"/>
    <w:rsid w:val="006F1B97"/>
    <w:rsid w:val="006F1E21"/>
    <w:rsid w:val="006F1E96"/>
    <w:rsid w:val="006F2130"/>
    <w:rsid w:val="006F24B2"/>
    <w:rsid w:val="006F2734"/>
    <w:rsid w:val="006F27AA"/>
    <w:rsid w:val="006F2A20"/>
    <w:rsid w:val="006F2A36"/>
    <w:rsid w:val="006F2BBA"/>
    <w:rsid w:val="006F2C77"/>
    <w:rsid w:val="006F2F49"/>
    <w:rsid w:val="006F390B"/>
    <w:rsid w:val="006F39B7"/>
    <w:rsid w:val="006F4091"/>
    <w:rsid w:val="006F5214"/>
    <w:rsid w:val="006F52A5"/>
    <w:rsid w:val="006F56DE"/>
    <w:rsid w:val="006F5902"/>
    <w:rsid w:val="006F5903"/>
    <w:rsid w:val="006F5A57"/>
    <w:rsid w:val="006F5CC0"/>
    <w:rsid w:val="006F6001"/>
    <w:rsid w:val="006F6073"/>
    <w:rsid w:val="006F6167"/>
    <w:rsid w:val="006F6171"/>
    <w:rsid w:val="006F6262"/>
    <w:rsid w:val="006F647F"/>
    <w:rsid w:val="006F64DC"/>
    <w:rsid w:val="006F67AA"/>
    <w:rsid w:val="006F6966"/>
    <w:rsid w:val="006F7741"/>
    <w:rsid w:val="006F781D"/>
    <w:rsid w:val="006F79D8"/>
    <w:rsid w:val="00700419"/>
    <w:rsid w:val="007006D9"/>
    <w:rsid w:val="007008B3"/>
    <w:rsid w:val="007009A4"/>
    <w:rsid w:val="00700ABF"/>
    <w:rsid w:val="00700B76"/>
    <w:rsid w:val="00700C1B"/>
    <w:rsid w:val="00700E3E"/>
    <w:rsid w:val="00700F50"/>
    <w:rsid w:val="007010A3"/>
    <w:rsid w:val="00701619"/>
    <w:rsid w:val="00701636"/>
    <w:rsid w:val="0070185E"/>
    <w:rsid w:val="00701880"/>
    <w:rsid w:val="00701A07"/>
    <w:rsid w:val="00701C92"/>
    <w:rsid w:val="00701ED9"/>
    <w:rsid w:val="007020A2"/>
    <w:rsid w:val="00702213"/>
    <w:rsid w:val="0070238C"/>
    <w:rsid w:val="007024A9"/>
    <w:rsid w:val="00702A2D"/>
    <w:rsid w:val="00702CB8"/>
    <w:rsid w:val="00702F99"/>
    <w:rsid w:val="0070313D"/>
    <w:rsid w:val="00703195"/>
    <w:rsid w:val="0070352C"/>
    <w:rsid w:val="007036F9"/>
    <w:rsid w:val="007037C4"/>
    <w:rsid w:val="007038EC"/>
    <w:rsid w:val="00703A7C"/>
    <w:rsid w:val="00703ACC"/>
    <w:rsid w:val="00703C8F"/>
    <w:rsid w:val="007041FF"/>
    <w:rsid w:val="00704240"/>
    <w:rsid w:val="00704736"/>
    <w:rsid w:val="007048E8"/>
    <w:rsid w:val="0070493B"/>
    <w:rsid w:val="00704A53"/>
    <w:rsid w:val="00704B1F"/>
    <w:rsid w:val="00704D69"/>
    <w:rsid w:val="007051B0"/>
    <w:rsid w:val="00705363"/>
    <w:rsid w:val="007053EF"/>
    <w:rsid w:val="007055FB"/>
    <w:rsid w:val="00705A36"/>
    <w:rsid w:val="00705A96"/>
    <w:rsid w:val="00705E54"/>
    <w:rsid w:val="00706114"/>
    <w:rsid w:val="007064A9"/>
    <w:rsid w:val="00706555"/>
    <w:rsid w:val="00706666"/>
    <w:rsid w:val="007067A2"/>
    <w:rsid w:val="007069C9"/>
    <w:rsid w:val="00706BF0"/>
    <w:rsid w:val="00706F86"/>
    <w:rsid w:val="007075D4"/>
    <w:rsid w:val="00707700"/>
    <w:rsid w:val="00707803"/>
    <w:rsid w:val="0070790B"/>
    <w:rsid w:val="00707961"/>
    <w:rsid w:val="00707F4E"/>
    <w:rsid w:val="0071052E"/>
    <w:rsid w:val="00710561"/>
    <w:rsid w:val="00710640"/>
    <w:rsid w:val="0071085D"/>
    <w:rsid w:val="00710E00"/>
    <w:rsid w:val="00710E86"/>
    <w:rsid w:val="0071103F"/>
    <w:rsid w:val="0071105F"/>
    <w:rsid w:val="007111DB"/>
    <w:rsid w:val="007112DF"/>
    <w:rsid w:val="00711552"/>
    <w:rsid w:val="0071163E"/>
    <w:rsid w:val="00711935"/>
    <w:rsid w:val="00711A81"/>
    <w:rsid w:val="00712319"/>
    <w:rsid w:val="00712E00"/>
    <w:rsid w:val="0071308D"/>
    <w:rsid w:val="007133B8"/>
    <w:rsid w:val="007136BD"/>
    <w:rsid w:val="00713BBC"/>
    <w:rsid w:val="007141A3"/>
    <w:rsid w:val="00714284"/>
    <w:rsid w:val="007142C6"/>
    <w:rsid w:val="00714424"/>
    <w:rsid w:val="007144B6"/>
    <w:rsid w:val="00714B29"/>
    <w:rsid w:val="00714B62"/>
    <w:rsid w:val="007150E3"/>
    <w:rsid w:val="00715151"/>
    <w:rsid w:val="0071528E"/>
    <w:rsid w:val="007152E6"/>
    <w:rsid w:val="00715336"/>
    <w:rsid w:val="007153E5"/>
    <w:rsid w:val="00715796"/>
    <w:rsid w:val="00715DAC"/>
    <w:rsid w:val="00715DC1"/>
    <w:rsid w:val="00715DD3"/>
    <w:rsid w:val="00715F29"/>
    <w:rsid w:val="007161B6"/>
    <w:rsid w:val="0071624A"/>
    <w:rsid w:val="00716316"/>
    <w:rsid w:val="00716DAD"/>
    <w:rsid w:val="007177A7"/>
    <w:rsid w:val="00717837"/>
    <w:rsid w:val="00717AB7"/>
    <w:rsid w:val="00721042"/>
    <w:rsid w:val="00721201"/>
    <w:rsid w:val="00721460"/>
    <w:rsid w:val="007215E4"/>
    <w:rsid w:val="0072160C"/>
    <w:rsid w:val="00721688"/>
    <w:rsid w:val="00721808"/>
    <w:rsid w:val="007218C9"/>
    <w:rsid w:val="00721C2A"/>
    <w:rsid w:val="00721D6B"/>
    <w:rsid w:val="00722592"/>
    <w:rsid w:val="0072275B"/>
    <w:rsid w:val="00722A5F"/>
    <w:rsid w:val="00722AFC"/>
    <w:rsid w:val="0072311E"/>
    <w:rsid w:val="0072316F"/>
    <w:rsid w:val="00723526"/>
    <w:rsid w:val="00723837"/>
    <w:rsid w:val="00723E6B"/>
    <w:rsid w:val="007244AF"/>
    <w:rsid w:val="007248AF"/>
    <w:rsid w:val="00724956"/>
    <w:rsid w:val="00724A5D"/>
    <w:rsid w:val="00724A7D"/>
    <w:rsid w:val="00724AB4"/>
    <w:rsid w:val="00724B60"/>
    <w:rsid w:val="00724E69"/>
    <w:rsid w:val="00725326"/>
    <w:rsid w:val="00725564"/>
    <w:rsid w:val="00725A9F"/>
    <w:rsid w:val="00725C12"/>
    <w:rsid w:val="007266EA"/>
    <w:rsid w:val="00726808"/>
    <w:rsid w:val="0072681E"/>
    <w:rsid w:val="00726C1F"/>
    <w:rsid w:val="00726CCA"/>
    <w:rsid w:val="00727287"/>
    <w:rsid w:val="0072742E"/>
    <w:rsid w:val="0072743D"/>
    <w:rsid w:val="007276F8"/>
    <w:rsid w:val="007278B7"/>
    <w:rsid w:val="00727A19"/>
    <w:rsid w:val="00727C01"/>
    <w:rsid w:val="00727FD5"/>
    <w:rsid w:val="007300D8"/>
    <w:rsid w:val="00730214"/>
    <w:rsid w:val="007304DA"/>
    <w:rsid w:val="00730531"/>
    <w:rsid w:val="0073081D"/>
    <w:rsid w:val="0073096F"/>
    <w:rsid w:val="007309FB"/>
    <w:rsid w:val="00731067"/>
    <w:rsid w:val="00731430"/>
    <w:rsid w:val="007315E7"/>
    <w:rsid w:val="007316D1"/>
    <w:rsid w:val="007317B2"/>
    <w:rsid w:val="007319F4"/>
    <w:rsid w:val="00731E43"/>
    <w:rsid w:val="00731EC3"/>
    <w:rsid w:val="007321A3"/>
    <w:rsid w:val="007322AE"/>
    <w:rsid w:val="00732630"/>
    <w:rsid w:val="0073292F"/>
    <w:rsid w:val="00732BC3"/>
    <w:rsid w:val="00733136"/>
    <w:rsid w:val="00733484"/>
    <w:rsid w:val="00733878"/>
    <w:rsid w:val="0073389D"/>
    <w:rsid w:val="0073391A"/>
    <w:rsid w:val="00733B3E"/>
    <w:rsid w:val="00733B98"/>
    <w:rsid w:val="00733D12"/>
    <w:rsid w:val="00733DB1"/>
    <w:rsid w:val="00734044"/>
    <w:rsid w:val="0073412D"/>
    <w:rsid w:val="0073439F"/>
    <w:rsid w:val="007343C4"/>
    <w:rsid w:val="00734829"/>
    <w:rsid w:val="0073494A"/>
    <w:rsid w:val="007350F7"/>
    <w:rsid w:val="00735372"/>
    <w:rsid w:val="00735B98"/>
    <w:rsid w:val="00735C10"/>
    <w:rsid w:val="00735DB3"/>
    <w:rsid w:val="007363F7"/>
    <w:rsid w:val="007367F8"/>
    <w:rsid w:val="00736BA9"/>
    <w:rsid w:val="00736DD8"/>
    <w:rsid w:val="0073722E"/>
    <w:rsid w:val="007372D7"/>
    <w:rsid w:val="0073795E"/>
    <w:rsid w:val="00737B14"/>
    <w:rsid w:val="00737C10"/>
    <w:rsid w:val="00737F49"/>
    <w:rsid w:val="00740433"/>
    <w:rsid w:val="007404C6"/>
    <w:rsid w:val="00740570"/>
    <w:rsid w:val="00740A3E"/>
    <w:rsid w:val="00740EA8"/>
    <w:rsid w:val="00741503"/>
    <w:rsid w:val="00741DAB"/>
    <w:rsid w:val="00741DD7"/>
    <w:rsid w:val="00742783"/>
    <w:rsid w:val="00742A8B"/>
    <w:rsid w:val="00742D50"/>
    <w:rsid w:val="007432DD"/>
    <w:rsid w:val="0074369B"/>
    <w:rsid w:val="00743B9F"/>
    <w:rsid w:val="00743BA9"/>
    <w:rsid w:val="00743D8E"/>
    <w:rsid w:val="00744172"/>
    <w:rsid w:val="00744182"/>
    <w:rsid w:val="0074478B"/>
    <w:rsid w:val="00744E4E"/>
    <w:rsid w:val="00745050"/>
    <w:rsid w:val="0074521A"/>
    <w:rsid w:val="00745907"/>
    <w:rsid w:val="00745BA4"/>
    <w:rsid w:val="0074602A"/>
    <w:rsid w:val="00746602"/>
    <w:rsid w:val="00746624"/>
    <w:rsid w:val="00746A29"/>
    <w:rsid w:val="00746F9E"/>
    <w:rsid w:val="00747754"/>
    <w:rsid w:val="00750057"/>
    <w:rsid w:val="0075006E"/>
    <w:rsid w:val="00750186"/>
    <w:rsid w:val="00750242"/>
    <w:rsid w:val="00750497"/>
    <w:rsid w:val="0075085C"/>
    <w:rsid w:val="00750922"/>
    <w:rsid w:val="00750945"/>
    <w:rsid w:val="0075099A"/>
    <w:rsid w:val="007510B5"/>
    <w:rsid w:val="007518CF"/>
    <w:rsid w:val="00751B50"/>
    <w:rsid w:val="00751D27"/>
    <w:rsid w:val="00751E39"/>
    <w:rsid w:val="00751F67"/>
    <w:rsid w:val="007523E9"/>
    <w:rsid w:val="0075246E"/>
    <w:rsid w:val="00752487"/>
    <w:rsid w:val="00752AFB"/>
    <w:rsid w:val="00753235"/>
    <w:rsid w:val="00753352"/>
    <w:rsid w:val="00753A65"/>
    <w:rsid w:val="00753AF9"/>
    <w:rsid w:val="00753B51"/>
    <w:rsid w:val="00753D47"/>
    <w:rsid w:val="00753ED9"/>
    <w:rsid w:val="00753FD1"/>
    <w:rsid w:val="007541DA"/>
    <w:rsid w:val="007543E7"/>
    <w:rsid w:val="00754478"/>
    <w:rsid w:val="007544E4"/>
    <w:rsid w:val="0075466B"/>
    <w:rsid w:val="00754C3D"/>
    <w:rsid w:val="0075553F"/>
    <w:rsid w:val="0075585A"/>
    <w:rsid w:val="007558A7"/>
    <w:rsid w:val="00755B88"/>
    <w:rsid w:val="00755C4C"/>
    <w:rsid w:val="00755E34"/>
    <w:rsid w:val="0075665A"/>
    <w:rsid w:val="0075670B"/>
    <w:rsid w:val="00756BF1"/>
    <w:rsid w:val="00756E63"/>
    <w:rsid w:val="0075714D"/>
    <w:rsid w:val="0075715C"/>
    <w:rsid w:val="00757407"/>
    <w:rsid w:val="007577C6"/>
    <w:rsid w:val="00757C0E"/>
    <w:rsid w:val="007600B9"/>
    <w:rsid w:val="007606A7"/>
    <w:rsid w:val="00760806"/>
    <w:rsid w:val="00760A2E"/>
    <w:rsid w:val="00760AEA"/>
    <w:rsid w:val="0076102E"/>
    <w:rsid w:val="00761586"/>
    <w:rsid w:val="00761AE1"/>
    <w:rsid w:val="00761B72"/>
    <w:rsid w:val="00761EEF"/>
    <w:rsid w:val="00762292"/>
    <w:rsid w:val="007624D4"/>
    <w:rsid w:val="00762605"/>
    <w:rsid w:val="007628A9"/>
    <w:rsid w:val="007628B7"/>
    <w:rsid w:val="00762D89"/>
    <w:rsid w:val="00762E6D"/>
    <w:rsid w:val="0076319C"/>
    <w:rsid w:val="00763338"/>
    <w:rsid w:val="0076365A"/>
    <w:rsid w:val="007636E5"/>
    <w:rsid w:val="0076397A"/>
    <w:rsid w:val="00763D57"/>
    <w:rsid w:val="00763FDB"/>
    <w:rsid w:val="0076409D"/>
    <w:rsid w:val="007642F0"/>
    <w:rsid w:val="00764477"/>
    <w:rsid w:val="0076451B"/>
    <w:rsid w:val="00764558"/>
    <w:rsid w:val="00764647"/>
    <w:rsid w:val="00764726"/>
    <w:rsid w:val="007649D1"/>
    <w:rsid w:val="00764A0F"/>
    <w:rsid w:val="00764DC4"/>
    <w:rsid w:val="00765031"/>
    <w:rsid w:val="007652F1"/>
    <w:rsid w:val="007653AC"/>
    <w:rsid w:val="0076567C"/>
    <w:rsid w:val="00765926"/>
    <w:rsid w:val="00765D0C"/>
    <w:rsid w:val="00766254"/>
    <w:rsid w:val="00766524"/>
    <w:rsid w:val="007667C5"/>
    <w:rsid w:val="00766800"/>
    <w:rsid w:val="00766D29"/>
    <w:rsid w:val="00766E91"/>
    <w:rsid w:val="00766EC3"/>
    <w:rsid w:val="00767261"/>
    <w:rsid w:val="007675FA"/>
    <w:rsid w:val="007676A8"/>
    <w:rsid w:val="0076781D"/>
    <w:rsid w:val="0076789D"/>
    <w:rsid w:val="007700E0"/>
    <w:rsid w:val="0077021D"/>
    <w:rsid w:val="00770440"/>
    <w:rsid w:val="007707D5"/>
    <w:rsid w:val="007708F6"/>
    <w:rsid w:val="00770974"/>
    <w:rsid w:val="00770A1D"/>
    <w:rsid w:val="00770D8C"/>
    <w:rsid w:val="00770F9B"/>
    <w:rsid w:val="0077101B"/>
    <w:rsid w:val="00771330"/>
    <w:rsid w:val="007714F3"/>
    <w:rsid w:val="0077159A"/>
    <w:rsid w:val="00771A31"/>
    <w:rsid w:val="00772117"/>
    <w:rsid w:val="00772A86"/>
    <w:rsid w:val="00772FFE"/>
    <w:rsid w:val="0077343F"/>
    <w:rsid w:val="007736DA"/>
    <w:rsid w:val="007736FE"/>
    <w:rsid w:val="00773904"/>
    <w:rsid w:val="00773C26"/>
    <w:rsid w:val="0077414F"/>
    <w:rsid w:val="0077463C"/>
    <w:rsid w:val="00774703"/>
    <w:rsid w:val="00774E96"/>
    <w:rsid w:val="00774F18"/>
    <w:rsid w:val="00774F23"/>
    <w:rsid w:val="00775030"/>
    <w:rsid w:val="00775096"/>
    <w:rsid w:val="00775860"/>
    <w:rsid w:val="0077587B"/>
    <w:rsid w:val="00775BE9"/>
    <w:rsid w:val="00775CFB"/>
    <w:rsid w:val="00775EB6"/>
    <w:rsid w:val="00775F62"/>
    <w:rsid w:val="00776431"/>
    <w:rsid w:val="00776639"/>
    <w:rsid w:val="007768B6"/>
    <w:rsid w:val="00776A3D"/>
    <w:rsid w:val="00776A7A"/>
    <w:rsid w:val="00776C40"/>
    <w:rsid w:val="00776CB8"/>
    <w:rsid w:val="00776CEC"/>
    <w:rsid w:val="00777678"/>
    <w:rsid w:val="0077790F"/>
    <w:rsid w:val="0078027D"/>
    <w:rsid w:val="007808A0"/>
    <w:rsid w:val="0078105D"/>
    <w:rsid w:val="00781297"/>
    <w:rsid w:val="00781684"/>
    <w:rsid w:val="00781AD1"/>
    <w:rsid w:val="00781E22"/>
    <w:rsid w:val="00781ED0"/>
    <w:rsid w:val="0078218F"/>
    <w:rsid w:val="007824DC"/>
    <w:rsid w:val="007825EC"/>
    <w:rsid w:val="00782884"/>
    <w:rsid w:val="00782CBC"/>
    <w:rsid w:val="00783073"/>
    <w:rsid w:val="007833CC"/>
    <w:rsid w:val="007836C3"/>
    <w:rsid w:val="007837D3"/>
    <w:rsid w:val="007837FA"/>
    <w:rsid w:val="007838DB"/>
    <w:rsid w:val="00784199"/>
    <w:rsid w:val="007841A0"/>
    <w:rsid w:val="0078463D"/>
    <w:rsid w:val="007846E2"/>
    <w:rsid w:val="00784D0E"/>
    <w:rsid w:val="00784F06"/>
    <w:rsid w:val="007850E9"/>
    <w:rsid w:val="00785732"/>
    <w:rsid w:val="007858E2"/>
    <w:rsid w:val="00785955"/>
    <w:rsid w:val="00785D95"/>
    <w:rsid w:val="00785FB7"/>
    <w:rsid w:val="00786426"/>
    <w:rsid w:val="00786912"/>
    <w:rsid w:val="00786C1D"/>
    <w:rsid w:val="00786C6E"/>
    <w:rsid w:val="00786E67"/>
    <w:rsid w:val="0078753E"/>
    <w:rsid w:val="00787652"/>
    <w:rsid w:val="0078780B"/>
    <w:rsid w:val="00787D2D"/>
    <w:rsid w:val="00787EE2"/>
    <w:rsid w:val="00787F42"/>
    <w:rsid w:val="007900AA"/>
    <w:rsid w:val="00790148"/>
    <w:rsid w:val="0079016F"/>
    <w:rsid w:val="007905DD"/>
    <w:rsid w:val="007906B0"/>
    <w:rsid w:val="007909C0"/>
    <w:rsid w:val="007910A2"/>
    <w:rsid w:val="00791249"/>
    <w:rsid w:val="00791272"/>
    <w:rsid w:val="00791475"/>
    <w:rsid w:val="0079147C"/>
    <w:rsid w:val="00791702"/>
    <w:rsid w:val="007917A2"/>
    <w:rsid w:val="0079188C"/>
    <w:rsid w:val="00791AA0"/>
    <w:rsid w:val="00791BC6"/>
    <w:rsid w:val="00791FFE"/>
    <w:rsid w:val="00792013"/>
    <w:rsid w:val="007921AD"/>
    <w:rsid w:val="00792353"/>
    <w:rsid w:val="007924A0"/>
    <w:rsid w:val="0079263B"/>
    <w:rsid w:val="0079278A"/>
    <w:rsid w:val="007929B5"/>
    <w:rsid w:val="00792B7D"/>
    <w:rsid w:val="007930DE"/>
    <w:rsid w:val="007930F2"/>
    <w:rsid w:val="00793193"/>
    <w:rsid w:val="00793419"/>
    <w:rsid w:val="0079353A"/>
    <w:rsid w:val="007936AE"/>
    <w:rsid w:val="00793C64"/>
    <w:rsid w:val="00793E30"/>
    <w:rsid w:val="00793E9E"/>
    <w:rsid w:val="007942E2"/>
    <w:rsid w:val="007943F2"/>
    <w:rsid w:val="007947A7"/>
    <w:rsid w:val="007948EA"/>
    <w:rsid w:val="00794B23"/>
    <w:rsid w:val="00794B2A"/>
    <w:rsid w:val="00795284"/>
    <w:rsid w:val="00795504"/>
    <w:rsid w:val="00795ADB"/>
    <w:rsid w:val="00795D53"/>
    <w:rsid w:val="007961F3"/>
    <w:rsid w:val="00796701"/>
    <w:rsid w:val="00797A96"/>
    <w:rsid w:val="00797E67"/>
    <w:rsid w:val="00797F6E"/>
    <w:rsid w:val="00797FEF"/>
    <w:rsid w:val="007A0208"/>
    <w:rsid w:val="007A0221"/>
    <w:rsid w:val="007A07A7"/>
    <w:rsid w:val="007A0850"/>
    <w:rsid w:val="007A090D"/>
    <w:rsid w:val="007A0998"/>
    <w:rsid w:val="007A0A77"/>
    <w:rsid w:val="007A0CD5"/>
    <w:rsid w:val="007A0D9B"/>
    <w:rsid w:val="007A0F91"/>
    <w:rsid w:val="007A103B"/>
    <w:rsid w:val="007A1801"/>
    <w:rsid w:val="007A1A9E"/>
    <w:rsid w:val="007A1E31"/>
    <w:rsid w:val="007A2369"/>
    <w:rsid w:val="007A24B5"/>
    <w:rsid w:val="007A25C1"/>
    <w:rsid w:val="007A26D4"/>
    <w:rsid w:val="007A2CB6"/>
    <w:rsid w:val="007A3017"/>
    <w:rsid w:val="007A30EF"/>
    <w:rsid w:val="007A3132"/>
    <w:rsid w:val="007A3285"/>
    <w:rsid w:val="007A33D5"/>
    <w:rsid w:val="007A34AB"/>
    <w:rsid w:val="007A34DE"/>
    <w:rsid w:val="007A36E9"/>
    <w:rsid w:val="007A3CD3"/>
    <w:rsid w:val="007A3F5A"/>
    <w:rsid w:val="007A410F"/>
    <w:rsid w:val="007A44F0"/>
    <w:rsid w:val="007A46B4"/>
    <w:rsid w:val="007A4A1E"/>
    <w:rsid w:val="007A51E6"/>
    <w:rsid w:val="007A5403"/>
    <w:rsid w:val="007A591E"/>
    <w:rsid w:val="007A5BA9"/>
    <w:rsid w:val="007A6093"/>
    <w:rsid w:val="007A6353"/>
    <w:rsid w:val="007A6856"/>
    <w:rsid w:val="007A697B"/>
    <w:rsid w:val="007A6B84"/>
    <w:rsid w:val="007A724B"/>
    <w:rsid w:val="007A7401"/>
    <w:rsid w:val="007A7834"/>
    <w:rsid w:val="007A795B"/>
    <w:rsid w:val="007A799B"/>
    <w:rsid w:val="007A7A48"/>
    <w:rsid w:val="007A7A64"/>
    <w:rsid w:val="007A7CCD"/>
    <w:rsid w:val="007A7E30"/>
    <w:rsid w:val="007A7F63"/>
    <w:rsid w:val="007AF3A1"/>
    <w:rsid w:val="007B0108"/>
    <w:rsid w:val="007B032E"/>
    <w:rsid w:val="007B0792"/>
    <w:rsid w:val="007B15A3"/>
    <w:rsid w:val="007B1EDB"/>
    <w:rsid w:val="007B2275"/>
    <w:rsid w:val="007B2440"/>
    <w:rsid w:val="007B267A"/>
    <w:rsid w:val="007B2AE6"/>
    <w:rsid w:val="007B2F40"/>
    <w:rsid w:val="007B319A"/>
    <w:rsid w:val="007B34BC"/>
    <w:rsid w:val="007B34CF"/>
    <w:rsid w:val="007B3634"/>
    <w:rsid w:val="007B3915"/>
    <w:rsid w:val="007B3ADD"/>
    <w:rsid w:val="007B3D19"/>
    <w:rsid w:val="007B3E4C"/>
    <w:rsid w:val="007B4247"/>
    <w:rsid w:val="007B42BB"/>
    <w:rsid w:val="007B4362"/>
    <w:rsid w:val="007B439C"/>
    <w:rsid w:val="007B492D"/>
    <w:rsid w:val="007B53CC"/>
    <w:rsid w:val="007B543B"/>
    <w:rsid w:val="007B5686"/>
    <w:rsid w:val="007B571B"/>
    <w:rsid w:val="007B5740"/>
    <w:rsid w:val="007B5FB2"/>
    <w:rsid w:val="007B63B3"/>
    <w:rsid w:val="007B66A1"/>
    <w:rsid w:val="007B694C"/>
    <w:rsid w:val="007B6E56"/>
    <w:rsid w:val="007B6FAB"/>
    <w:rsid w:val="007B7267"/>
    <w:rsid w:val="007B73B2"/>
    <w:rsid w:val="007B755E"/>
    <w:rsid w:val="007B79D9"/>
    <w:rsid w:val="007B7D74"/>
    <w:rsid w:val="007B7EE7"/>
    <w:rsid w:val="007C004B"/>
    <w:rsid w:val="007C00BD"/>
    <w:rsid w:val="007C0349"/>
    <w:rsid w:val="007C03D0"/>
    <w:rsid w:val="007C089C"/>
    <w:rsid w:val="007C0910"/>
    <w:rsid w:val="007C15BC"/>
    <w:rsid w:val="007C1662"/>
    <w:rsid w:val="007C1845"/>
    <w:rsid w:val="007C1937"/>
    <w:rsid w:val="007C1B69"/>
    <w:rsid w:val="007C2184"/>
    <w:rsid w:val="007C2422"/>
    <w:rsid w:val="007C2693"/>
    <w:rsid w:val="007C2919"/>
    <w:rsid w:val="007C2C60"/>
    <w:rsid w:val="007C335E"/>
    <w:rsid w:val="007C35B8"/>
    <w:rsid w:val="007C3800"/>
    <w:rsid w:val="007C380D"/>
    <w:rsid w:val="007C3F31"/>
    <w:rsid w:val="007C4124"/>
    <w:rsid w:val="007C4302"/>
    <w:rsid w:val="007C436F"/>
    <w:rsid w:val="007C463D"/>
    <w:rsid w:val="007C467A"/>
    <w:rsid w:val="007C4C25"/>
    <w:rsid w:val="007C4CEE"/>
    <w:rsid w:val="007C4F41"/>
    <w:rsid w:val="007C51AB"/>
    <w:rsid w:val="007C53AF"/>
    <w:rsid w:val="007C575D"/>
    <w:rsid w:val="007C5AF5"/>
    <w:rsid w:val="007C5B95"/>
    <w:rsid w:val="007C5C5A"/>
    <w:rsid w:val="007C5D00"/>
    <w:rsid w:val="007C610B"/>
    <w:rsid w:val="007C6A79"/>
    <w:rsid w:val="007C6B04"/>
    <w:rsid w:val="007C6F0C"/>
    <w:rsid w:val="007C7231"/>
    <w:rsid w:val="007C7512"/>
    <w:rsid w:val="007C7C4C"/>
    <w:rsid w:val="007C7DBE"/>
    <w:rsid w:val="007C7DC0"/>
    <w:rsid w:val="007C7E0C"/>
    <w:rsid w:val="007C7FAF"/>
    <w:rsid w:val="007D0566"/>
    <w:rsid w:val="007D0A76"/>
    <w:rsid w:val="007D0A8E"/>
    <w:rsid w:val="007D0D8C"/>
    <w:rsid w:val="007D0DD4"/>
    <w:rsid w:val="007D0F5D"/>
    <w:rsid w:val="007D0FC4"/>
    <w:rsid w:val="007D102F"/>
    <w:rsid w:val="007D10B2"/>
    <w:rsid w:val="007D10BD"/>
    <w:rsid w:val="007D1791"/>
    <w:rsid w:val="007D1BE8"/>
    <w:rsid w:val="007D1C8C"/>
    <w:rsid w:val="007D1D60"/>
    <w:rsid w:val="007D23D9"/>
    <w:rsid w:val="007D2482"/>
    <w:rsid w:val="007D2E20"/>
    <w:rsid w:val="007D3537"/>
    <w:rsid w:val="007D3631"/>
    <w:rsid w:val="007D42A1"/>
    <w:rsid w:val="007D43BF"/>
    <w:rsid w:val="007D4745"/>
    <w:rsid w:val="007D4A54"/>
    <w:rsid w:val="007D4A57"/>
    <w:rsid w:val="007D4D30"/>
    <w:rsid w:val="007D4DA9"/>
    <w:rsid w:val="007D50B2"/>
    <w:rsid w:val="007D52FD"/>
    <w:rsid w:val="007D57A8"/>
    <w:rsid w:val="007D57DB"/>
    <w:rsid w:val="007D5AB7"/>
    <w:rsid w:val="007D5ED6"/>
    <w:rsid w:val="007D5F6C"/>
    <w:rsid w:val="007D6003"/>
    <w:rsid w:val="007D6029"/>
    <w:rsid w:val="007D6287"/>
    <w:rsid w:val="007D641D"/>
    <w:rsid w:val="007D659F"/>
    <w:rsid w:val="007D6720"/>
    <w:rsid w:val="007D686F"/>
    <w:rsid w:val="007D6DDB"/>
    <w:rsid w:val="007D7166"/>
    <w:rsid w:val="007D72F1"/>
    <w:rsid w:val="007D749C"/>
    <w:rsid w:val="007D7661"/>
    <w:rsid w:val="007E0142"/>
    <w:rsid w:val="007E0ADD"/>
    <w:rsid w:val="007E0FF1"/>
    <w:rsid w:val="007E1097"/>
    <w:rsid w:val="007E1144"/>
    <w:rsid w:val="007E12EF"/>
    <w:rsid w:val="007E1BA2"/>
    <w:rsid w:val="007E1D72"/>
    <w:rsid w:val="007E1E67"/>
    <w:rsid w:val="007E1FC2"/>
    <w:rsid w:val="007E22E2"/>
    <w:rsid w:val="007E25EB"/>
    <w:rsid w:val="007E2F0F"/>
    <w:rsid w:val="007E3039"/>
    <w:rsid w:val="007E3214"/>
    <w:rsid w:val="007E3311"/>
    <w:rsid w:val="007E3A1B"/>
    <w:rsid w:val="007E3AF2"/>
    <w:rsid w:val="007E3B77"/>
    <w:rsid w:val="007E4805"/>
    <w:rsid w:val="007E486D"/>
    <w:rsid w:val="007E4B3F"/>
    <w:rsid w:val="007E50D4"/>
    <w:rsid w:val="007E51B9"/>
    <w:rsid w:val="007E5550"/>
    <w:rsid w:val="007E6282"/>
    <w:rsid w:val="007E661B"/>
    <w:rsid w:val="007E6743"/>
    <w:rsid w:val="007E6AE6"/>
    <w:rsid w:val="007E70D1"/>
    <w:rsid w:val="007E70E8"/>
    <w:rsid w:val="007E7690"/>
    <w:rsid w:val="007E7703"/>
    <w:rsid w:val="007E7B31"/>
    <w:rsid w:val="007E7BFB"/>
    <w:rsid w:val="007F0145"/>
    <w:rsid w:val="007F03DD"/>
    <w:rsid w:val="007F04AE"/>
    <w:rsid w:val="007F05FF"/>
    <w:rsid w:val="007F07BF"/>
    <w:rsid w:val="007F083B"/>
    <w:rsid w:val="007F0ED4"/>
    <w:rsid w:val="007F1117"/>
    <w:rsid w:val="007F1141"/>
    <w:rsid w:val="007F1430"/>
    <w:rsid w:val="007F15A7"/>
    <w:rsid w:val="007F1B3A"/>
    <w:rsid w:val="007F2020"/>
    <w:rsid w:val="007F2975"/>
    <w:rsid w:val="007F2D9E"/>
    <w:rsid w:val="007F334C"/>
    <w:rsid w:val="007F34B3"/>
    <w:rsid w:val="007F35EE"/>
    <w:rsid w:val="007F3666"/>
    <w:rsid w:val="007F36DE"/>
    <w:rsid w:val="007F3BC9"/>
    <w:rsid w:val="007F3F1E"/>
    <w:rsid w:val="007F4083"/>
    <w:rsid w:val="007F40D1"/>
    <w:rsid w:val="007F426A"/>
    <w:rsid w:val="007F428B"/>
    <w:rsid w:val="007F4318"/>
    <w:rsid w:val="007F4B19"/>
    <w:rsid w:val="007F551D"/>
    <w:rsid w:val="007F5529"/>
    <w:rsid w:val="007F554F"/>
    <w:rsid w:val="007F56C5"/>
    <w:rsid w:val="007F5854"/>
    <w:rsid w:val="007F5A22"/>
    <w:rsid w:val="007F5AFF"/>
    <w:rsid w:val="007F5BCC"/>
    <w:rsid w:val="007F6064"/>
    <w:rsid w:val="007F653C"/>
    <w:rsid w:val="007F6576"/>
    <w:rsid w:val="007F69CF"/>
    <w:rsid w:val="007F6AED"/>
    <w:rsid w:val="007F7675"/>
    <w:rsid w:val="007F77D4"/>
    <w:rsid w:val="007F78B3"/>
    <w:rsid w:val="007F7BC6"/>
    <w:rsid w:val="007F7F69"/>
    <w:rsid w:val="00800183"/>
    <w:rsid w:val="008001A0"/>
    <w:rsid w:val="008001AD"/>
    <w:rsid w:val="008002D9"/>
    <w:rsid w:val="00800477"/>
    <w:rsid w:val="00800D9A"/>
    <w:rsid w:val="008010F6"/>
    <w:rsid w:val="00801C96"/>
    <w:rsid w:val="00801F26"/>
    <w:rsid w:val="008020C6"/>
    <w:rsid w:val="00802310"/>
    <w:rsid w:val="0080251C"/>
    <w:rsid w:val="00802A28"/>
    <w:rsid w:val="00803031"/>
    <w:rsid w:val="008037DB"/>
    <w:rsid w:val="0080387C"/>
    <w:rsid w:val="0080395C"/>
    <w:rsid w:val="0080399F"/>
    <w:rsid w:val="00803B22"/>
    <w:rsid w:val="00803B91"/>
    <w:rsid w:val="00803B9F"/>
    <w:rsid w:val="0080427B"/>
    <w:rsid w:val="008043ED"/>
    <w:rsid w:val="00804695"/>
    <w:rsid w:val="00804A25"/>
    <w:rsid w:val="0080512F"/>
    <w:rsid w:val="008051E5"/>
    <w:rsid w:val="008051F7"/>
    <w:rsid w:val="00805892"/>
    <w:rsid w:val="00805953"/>
    <w:rsid w:val="00806334"/>
    <w:rsid w:val="00806559"/>
    <w:rsid w:val="008068C5"/>
    <w:rsid w:val="00806B16"/>
    <w:rsid w:val="00806B18"/>
    <w:rsid w:val="00807238"/>
    <w:rsid w:val="00807517"/>
    <w:rsid w:val="00807712"/>
    <w:rsid w:val="008100CA"/>
    <w:rsid w:val="0081091D"/>
    <w:rsid w:val="00810B85"/>
    <w:rsid w:val="00810BEB"/>
    <w:rsid w:val="00811317"/>
    <w:rsid w:val="008116A2"/>
    <w:rsid w:val="00811880"/>
    <w:rsid w:val="00811A9B"/>
    <w:rsid w:val="00812977"/>
    <w:rsid w:val="00812A00"/>
    <w:rsid w:val="00812C96"/>
    <w:rsid w:val="00812F36"/>
    <w:rsid w:val="00813894"/>
    <w:rsid w:val="0081393C"/>
    <w:rsid w:val="00813C19"/>
    <w:rsid w:val="00813EB7"/>
    <w:rsid w:val="0081430A"/>
    <w:rsid w:val="00814659"/>
    <w:rsid w:val="008147F7"/>
    <w:rsid w:val="00814900"/>
    <w:rsid w:val="0081493C"/>
    <w:rsid w:val="0081496A"/>
    <w:rsid w:val="0081497F"/>
    <w:rsid w:val="00814A62"/>
    <w:rsid w:val="00814DC8"/>
    <w:rsid w:val="00815040"/>
    <w:rsid w:val="0081514C"/>
    <w:rsid w:val="008151B2"/>
    <w:rsid w:val="0081526B"/>
    <w:rsid w:val="00815875"/>
    <w:rsid w:val="00815DAE"/>
    <w:rsid w:val="00815FF3"/>
    <w:rsid w:val="008160ED"/>
    <w:rsid w:val="008161DC"/>
    <w:rsid w:val="008163BF"/>
    <w:rsid w:val="00816701"/>
    <w:rsid w:val="008169E2"/>
    <w:rsid w:val="008169E8"/>
    <w:rsid w:val="00816B3E"/>
    <w:rsid w:val="00816C9D"/>
    <w:rsid w:val="00816D89"/>
    <w:rsid w:val="00816ED3"/>
    <w:rsid w:val="00816F50"/>
    <w:rsid w:val="00817549"/>
    <w:rsid w:val="00817A11"/>
    <w:rsid w:val="00817A9E"/>
    <w:rsid w:val="00817AB1"/>
    <w:rsid w:val="00817BF1"/>
    <w:rsid w:val="00817CFB"/>
    <w:rsid w:val="00817E64"/>
    <w:rsid w:val="00817ED6"/>
    <w:rsid w:val="008200C0"/>
    <w:rsid w:val="008200E5"/>
    <w:rsid w:val="008206BD"/>
    <w:rsid w:val="008206E0"/>
    <w:rsid w:val="008209A1"/>
    <w:rsid w:val="008209B0"/>
    <w:rsid w:val="00820B39"/>
    <w:rsid w:val="00820DB8"/>
    <w:rsid w:val="008212EE"/>
    <w:rsid w:val="0082132C"/>
    <w:rsid w:val="008214BE"/>
    <w:rsid w:val="00821C32"/>
    <w:rsid w:val="00821F8D"/>
    <w:rsid w:val="008220E6"/>
    <w:rsid w:val="00822337"/>
    <w:rsid w:val="008224E8"/>
    <w:rsid w:val="00822A23"/>
    <w:rsid w:val="00822E3B"/>
    <w:rsid w:val="008232B9"/>
    <w:rsid w:val="0082384B"/>
    <w:rsid w:val="0082385E"/>
    <w:rsid w:val="00823AA4"/>
    <w:rsid w:val="00823BAB"/>
    <w:rsid w:val="0082415D"/>
    <w:rsid w:val="008241BB"/>
    <w:rsid w:val="008242F3"/>
    <w:rsid w:val="0082433F"/>
    <w:rsid w:val="008243C2"/>
    <w:rsid w:val="00824405"/>
    <w:rsid w:val="008256C0"/>
    <w:rsid w:val="00825732"/>
    <w:rsid w:val="008259B0"/>
    <w:rsid w:val="00825A84"/>
    <w:rsid w:val="00825C8D"/>
    <w:rsid w:val="00825DB7"/>
    <w:rsid w:val="00825E85"/>
    <w:rsid w:val="00825EE9"/>
    <w:rsid w:val="008262B9"/>
    <w:rsid w:val="00826756"/>
    <w:rsid w:val="00826C47"/>
    <w:rsid w:val="00827074"/>
    <w:rsid w:val="008270FC"/>
    <w:rsid w:val="00827257"/>
    <w:rsid w:val="00827857"/>
    <w:rsid w:val="008278E2"/>
    <w:rsid w:val="00829570"/>
    <w:rsid w:val="008300A9"/>
    <w:rsid w:val="008303CF"/>
    <w:rsid w:val="00830532"/>
    <w:rsid w:val="00830627"/>
    <w:rsid w:val="0083086C"/>
    <w:rsid w:val="008308CE"/>
    <w:rsid w:val="00830A6A"/>
    <w:rsid w:val="00830A70"/>
    <w:rsid w:val="00830C22"/>
    <w:rsid w:val="00830D5C"/>
    <w:rsid w:val="008311F8"/>
    <w:rsid w:val="00831225"/>
    <w:rsid w:val="00831330"/>
    <w:rsid w:val="0083147C"/>
    <w:rsid w:val="008314B3"/>
    <w:rsid w:val="008314BA"/>
    <w:rsid w:val="0083167A"/>
    <w:rsid w:val="00831A09"/>
    <w:rsid w:val="00831BAF"/>
    <w:rsid w:val="008325F4"/>
    <w:rsid w:val="008326B6"/>
    <w:rsid w:val="00832716"/>
    <w:rsid w:val="008328E1"/>
    <w:rsid w:val="00832E7A"/>
    <w:rsid w:val="00833263"/>
    <w:rsid w:val="00833826"/>
    <w:rsid w:val="0083385E"/>
    <w:rsid w:val="00833B2A"/>
    <w:rsid w:val="008340CB"/>
    <w:rsid w:val="008342FE"/>
    <w:rsid w:val="00834451"/>
    <w:rsid w:val="00834788"/>
    <w:rsid w:val="00834A48"/>
    <w:rsid w:val="00834C03"/>
    <w:rsid w:val="00834FBC"/>
    <w:rsid w:val="00835629"/>
    <w:rsid w:val="0083621B"/>
    <w:rsid w:val="00836346"/>
    <w:rsid w:val="008369C4"/>
    <w:rsid w:val="00836FB7"/>
    <w:rsid w:val="00837653"/>
    <w:rsid w:val="00837671"/>
    <w:rsid w:val="00837B40"/>
    <w:rsid w:val="00840589"/>
    <w:rsid w:val="0084063E"/>
    <w:rsid w:val="0084087B"/>
    <w:rsid w:val="00840F32"/>
    <w:rsid w:val="00841440"/>
    <w:rsid w:val="00841766"/>
    <w:rsid w:val="008418CF"/>
    <w:rsid w:val="00841B81"/>
    <w:rsid w:val="00841E2E"/>
    <w:rsid w:val="00842057"/>
    <w:rsid w:val="008425C7"/>
    <w:rsid w:val="00842711"/>
    <w:rsid w:val="0084299E"/>
    <w:rsid w:val="00842FA0"/>
    <w:rsid w:val="008430E7"/>
    <w:rsid w:val="0084327C"/>
    <w:rsid w:val="00843676"/>
    <w:rsid w:val="0084382A"/>
    <w:rsid w:val="00843A58"/>
    <w:rsid w:val="00843DC8"/>
    <w:rsid w:val="00843FFD"/>
    <w:rsid w:val="008444D6"/>
    <w:rsid w:val="0084457A"/>
    <w:rsid w:val="00844822"/>
    <w:rsid w:val="008452E5"/>
    <w:rsid w:val="00845302"/>
    <w:rsid w:val="00845303"/>
    <w:rsid w:val="008457FF"/>
    <w:rsid w:val="00845E85"/>
    <w:rsid w:val="00846121"/>
    <w:rsid w:val="00846278"/>
    <w:rsid w:val="00846513"/>
    <w:rsid w:val="00846757"/>
    <w:rsid w:val="008467B0"/>
    <w:rsid w:val="008472C2"/>
    <w:rsid w:val="00847454"/>
    <w:rsid w:val="00847574"/>
    <w:rsid w:val="00847667"/>
    <w:rsid w:val="0084785D"/>
    <w:rsid w:val="00847FD7"/>
    <w:rsid w:val="00850105"/>
    <w:rsid w:val="00850688"/>
    <w:rsid w:val="008506E1"/>
    <w:rsid w:val="00850C7E"/>
    <w:rsid w:val="00850CC5"/>
    <w:rsid w:val="00850F1B"/>
    <w:rsid w:val="00851351"/>
    <w:rsid w:val="00851449"/>
    <w:rsid w:val="008514D3"/>
    <w:rsid w:val="00851549"/>
    <w:rsid w:val="008517A1"/>
    <w:rsid w:val="0085186C"/>
    <w:rsid w:val="008518B8"/>
    <w:rsid w:val="008518DB"/>
    <w:rsid w:val="00851A79"/>
    <w:rsid w:val="00851B86"/>
    <w:rsid w:val="00851CBC"/>
    <w:rsid w:val="00851D07"/>
    <w:rsid w:val="008521C1"/>
    <w:rsid w:val="008522D1"/>
    <w:rsid w:val="008529FF"/>
    <w:rsid w:val="00852B37"/>
    <w:rsid w:val="00852D5F"/>
    <w:rsid w:val="0085333A"/>
    <w:rsid w:val="0085335E"/>
    <w:rsid w:val="008533A8"/>
    <w:rsid w:val="0085383C"/>
    <w:rsid w:val="008538BD"/>
    <w:rsid w:val="00853DB1"/>
    <w:rsid w:val="00853ECA"/>
    <w:rsid w:val="008544DF"/>
    <w:rsid w:val="008545DC"/>
    <w:rsid w:val="0085478E"/>
    <w:rsid w:val="00854A94"/>
    <w:rsid w:val="00854F51"/>
    <w:rsid w:val="00855068"/>
    <w:rsid w:val="00855136"/>
    <w:rsid w:val="00855148"/>
    <w:rsid w:val="00855164"/>
    <w:rsid w:val="008552B9"/>
    <w:rsid w:val="008558AF"/>
    <w:rsid w:val="00855D4F"/>
    <w:rsid w:val="00855F4C"/>
    <w:rsid w:val="008560FF"/>
    <w:rsid w:val="00856832"/>
    <w:rsid w:val="00856AC8"/>
    <w:rsid w:val="00856AE8"/>
    <w:rsid w:val="00857006"/>
    <w:rsid w:val="00857401"/>
    <w:rsid w:val="00857502"/>
    <w:rsid w:val="008577B7"/>
    <w:rsid w:val="00857812"/>
    <w:rsid w:val="00857E44"/>
    <w:rsid w:val="00857FDA"/>
    <w:rsid w:val="00860578"/>
    <w:rsid w:val="0086076F"/>
    <w:rsid w:val="00860C23"/>
    <w:rsid w:val="00860C9D"/>
    <w:rsid w:val="00861682"/>
    <w:rsid w:val="00861D4C"/>
    <w:rsid w:val="008622A0"/>
    <w:rsid w:val="00862ACD"/>
    <w:rsid w:val="00862C70"/>
    <w:rsid w:val="00862E44"/>
    <w:rsid w:val="00862E5D"/>
    <w:rsid w:val="00863587"/>
    <w:rsid w:val="0086363B"/>
    <w:rsid w:val="00863EC7"/>
    <w:rsid w:val="0086416B"/>
    <w:rsid w:val="0086417A"/>
    <w:rsid w:val="008643E0"/>
    <w:rsid w:val="00864539"/>
    <w:rsid w:val="008645D4"/>
    <w:rsid w:val="00864625"/>
    <w:rsid w:val="00864BE1"/>
    <w:rsid w:val="00864DC4"/>
    <w:rsid w:val="00864ECD"/>
    <w:rsid w:val="00865449"/>
    <w:rsid w:val="0086558E"/>
    <w:rsid w:val="00865749"/>
    <w:rsid w:val="008657C0"/>
    <w:rsid w:val="00865850"/>
    <w:rsid w:val="00866A43"/>
    <w:rsid w:val="0086734F"/>
    <w:rsid w:val="00867503"/>
    <w:rsid w:val="00867CBB"/>
    <w:rsid w:val="00867E5F"/>
    <w:rsid w:val="00867F62"/>
    <w:rsid w:val="00870048"/>
    <w:rsid w:val="008701F2"/>
    <w:rsid w:val="0087057E"/>
    <w:rsid w:val="00870946"/>
    <w:rsid w:val="00870AF8"/>
    <w:rsid w:val="00870ED4"/>
    <w:rsid w:val="00871176"/>
    <w:rsid w:val="00871B52"/>
    <w:rsid w:val="00872029"/>
    <w:rsid w:val="008720BB"/>
    <w:rsid w:val="00872121"/>
    <w:rsid w:val="0087267F"/>
    <w:rsid w:val="0087297C"/>
    <w:rsid w:val="00872A47"/>
    <w:rsid w:val="00872BBE"/>
    <w:rsid w:val="00872FB0"/>
    <w:rsid w:val="00873311"/>
    <w:rsid w:val="00873319"/>
    <w:rsid w:val="00873625"/>
    <w:rsid w:val="0087369C"/>
    <w:rsid w:val="008736EF"/>
    <w:rsid w:val="008738D0"/>
    <w:rsid w:val="00873B12"/>
    <w:rsid w:val="00873C31"/>
    <w:rsid w:val="00873F10"/>
    <w:rsid w:val="0087405B"/>
    <w:rsid w:val="008742D4"/>
    <w:rsid w:val="008746C2"/>
    <w:rsid w:val="00874816"/>
    <w:rsid w:val="00874A97"/>
    <w:rsid w:val="00874BF2"/>
    <w:rsid w:val="00874F4C"/>
    <w:rsid w:val="008751CE"/>
    <w:rsid w:val="0087529C"/>
    <w:rsid w:val="008752C5"/>
    <w:rsid w:val="0087530C"/>
    <w:rsid w:val="0087531A"/>
    <w:rsid w:val="00875635"/>
    <w:rsid w:val="00875662"/>
    <w:rsid w:val="0087569E"/>
    <w:rsid w:val="00875713"/>
    <w:rsid w:val="008757F3"/>
    <w:rsid w:val="008758CD"/>
    <w:rsid w:val="00875E54"/>
    <w:rsid w:val="00875EDC"/>
    <w:rsid w:val="008764ED"/>
    <w:rsid w:val="00876ACA"/>
    <w:rsid w:val="00876B09"/>
    <w:rsid w:val="00876B15"/>
    <w:rsid w:val="00876B4B"/>
    <w:rsid w:val="00876E3B"/>
    <w:rsid w:val="00877461"/>
    <w:rsid w:val="00877469"/>
    <w:rsid w:val="008775A8"/>
    <w:rsid w:val="0087780F"/>
    <w:rsid w:val="00877954"/>
    <w:rsid w:val="00877E93"/>
    <w:rsid w:val="008805FC"/>
    <w:rsid w:val="008806D1"/>
    <w:rsid w:val="0088072D"/>
    <w:rsid w:val="008807BF"/>
    <w:rsid w:val="008807D3"/>
    <w:rsid w:val="00880C7B"/>
    <w:rsid w:val="00880E2B"/>
    <w:rsid w:val="00880F49"/>
    <w:rsid w:val="008812D0"/>
    <w:rsid w:val="00881659"/>
    <w:rsid w:val="0088179D"/>
    <w:rsid w:val="00881AE9"/>
    <w:rsid w:val="00881B45"/>
    <w:rsid w:val="008820D1"/>
    <w:rsid w:val="0088214E"/>
    <w:rsid w:val="0088288E"/>
    <w:rsid w:val="00882959"/>
    <w:rsid w:val="00883567"/>
    <w:rsid w:val="00883A2B"/>
    <w:rsid w:val="00884131"/>
    <w:rsid w:val="008841DE"/>
    <w:rsid w:val="00884217"/>
    <w:rsid w:val="0088436C"/>
    <w:rsid w:val="008843C4"/>
    <w:rsid w:val="008844F4"/>
    <w:rsid w:val="008845F7"/>
    <w:rsid w:val="00885073"/>
    <w:rsid w:val="0088546C"/>
    <w:rsid w:val="00885648"/>
    <w:rsid w:val="00885677"/>
    <w:rsid w:val="00885868"/>
    <w:rsid w:val="0088587B"/>
    <w:rsid w:val="008858A7"/>
    <w:rsid w:val="008858CF"/>
    <w:rsid w:val="0088590B"/>
    <w:rsid w:val="00885BA3"/>
    <w:rsid w:val="00885F07"/>
    <w:rsid w:val="00885FD8"/>
    <w:rsid w:val="00886042"/>
    <w:rsid w:val="0088606A"/>
    <w:rsid w:val="008862BF"/>
    <w:rsid w:val="00886510"/>
    <w:rsid w:val="00886826"/>
    <w:rsid w:val="008868B9"/>
    <w:rsid w:val="00886AA5"/>
    <w:rsid w:val="00886DCF"/>
    <w:rsid w:val="0088748E"/>
    <w:rsid w:val="008875B0"/>
    <w:rsid w:val="00887EE4"/>
    <w:rsid w:val="008903D1"/>
    <w:rsid w:val="00890523"/>
    <w:rsid w:val="00890904"/>
    <w:rsid w:val="00890B1B"/>
    <w:rsid w:val="00892A50"/>
    <w:rsid w:val="00892A96"/>
    <w:rsid w:val="00892DA7"/>
    <w:rsid w:val="00892E4A"/>
    <w:rsid w:val="008932AC"/>
    <w:rsid w:val="0089364B"/>
    <w:rsid w:val="00893946"/>
    <w:rsid w:val="00893962"/>
    <w:rsid w:val="00893DD8"/>
    <w:rsid w:val="00894558"/>
    <w:rsid w:val="00894727"/>
    <w:rsid w:val="008947DE"/>
    <w:rsid w:val="00894AAE"/>
    <w:rsid w:val="00894CC7"/>
    <w:rsid w:val="00894FE6"/>
    <w:rsid w:val="00894FF3"/>
    <w:rsid w:val="00895792"/>
    <w:rsid w:val="00895C0C"/>
    <w:rsid w:val="00895E92"/>
    <w:rsid w:val="008961E3"/>
    <w:rsid w:val="008962E9"/>
    <w:rsid w:val="00896404"/>
    <w:rsid w:val="0089643A"/>
    <w:rsid w:val="00896609"/>
    <w:rsid w:val="008967E8"/>
    <w:rsid w:val="00896B48"/>
    <w:rsid w:val="00897735"/>
    <w:rsid w:val="008A025C"/>
    <w:rsid w:val="008A15EF"/>
    <w:rsid w:val="008A1BF8"/>
    <w:rsid w:val="008A1CC3"/>
    <w:rsid w:val="008A1D38"/>
    <w:rsid w:val="008A1D86"/>
    <w:rsid w:val="008A216A"/>
    <w:rsid w:val="008A2720"/>
    <w:rsid w:val="008A282C"/>
    <w:rsid w:val="008A28D1"/>
    <w:rsid w:val="008A29E4"/>
    <w:rsid w:val="008A2E69"/>
    <w:rsid w:val="008A2EB0"/>
    <w:rsid w:val="008A2EF0"/>
    <w:rsid w:val="008A2F7C"/>
    <w:rsid w:val="008A35DE"/>
    <w:rsid w:val="008A372A"/>
    <w:rsid w:val="008A39D2"/>
    <w:rsid w:val="008A3C92"/>
    <w:rsid w:val="008A3D5F"/>
    <w:rsid w:val="008A3E7C"/>
    <w:rsid w:val="008A487D"/>
    <w:rsid w:val="008A48CC"/>
    <w:rsid w:val="008A490E"/>
    <w:rsid w:val="008A4B46"/>
    <w:rsid w:val="008A4FBA"/>
    <w:rsid w:val="008A52B6"/>
    <w:rsid w:val="008A5369"/>
    <w:rsid w:val="008A5465"/>
    <w:rsid w:val="008A57B5"/>
    <w:rsid w:val="008A5963"/>
    <w:rsid w:val="008A5CAD"/>
    <w:rsid w:val="008A5E76"/>
    <w:rsid w:val="008A65D0"/>
    <w:rsid w:val="008A697D"/>
    <w:rsid w:val="008A6A6D"/>
    <w:rsid w:val="008A6D90"/>
    <w:rsid w:val="008A7014"/>
    <w:rsid w:val="008A7433"/>
    <w:rsid w:val="008A752B"/>
    <w:rsid w:val="008A799B"/>
    <w:rsid w:val="008B00F2"/>
    <w:rsid w:val="008B034D"/>
    <w:rsid w:val="008B049B"/>
    <w:rsid w:val="008B0525"/>
    <w:rsid w:val="008B087A"/>
    <w:rsid w:val="008B0D8D"/>
    <w:rsid w:val="008B0F03"/>
    <w:rsid w:val="008B1179"/>
    <w:rsid w:val="008B11D6"/>
    <w:rsid w:val="008B12CD"/>
    <w:rsid w:val="008B1656"/>
    <w:rsid w:val="008B165D"/>
    <w:rsid w:val="008B16F3"/>
    <w:rsid w:val="008B184E"/>
    <w:rsid w:val="008B1A4E"/>
    <w:rsid w:val="008B1B05"/>
    <w:rsid w:val="008B1C6C"/>
    <w:rsid w:val="008B1DD6"/>
    <w:rsid w:val="008B1F10"/>
    <w:rsid w:val="008B2544"/>
    <w:rsid w:val="008B25AE"/>
    <w:rsid w:val="008B3054"/>
    <w:rsid w:val="008B343C"/>
    <w:rsid w:val="008B3B8E"/>
    <w:rsid w:val="008B3E60"/>
    <w:rsid w:val="008B3EE7"/>
    <w:rsid w:val="008B4399"/>
    <w:rsid w:val="008B43B3"/>
    <w:rsid w:val="008B45F6"/>
    <w:rsid w:val="008B45FE"/>
    <w:rsid w:val="008B470B"/>
    <w:rsid w:val="008B4BF3"/>
    <w:rsid w:val="008B4C13"/>
    <w:rsid w:val="008B4DFD"/>
    <w:rsid w:val="008B4F5C"/>
    <w:rsid w:val="008B50E5"/>
    <w:rsid w:val="008B523B"/>
    <w:rsid w:val="008B5315"/>
    <w:rsid w:val="008B56CA"/>
    <w:rsid w:val="008B57A6"/>
    <w:rsid w:val="008B597B"/>
    <w:rsid w:val="008B59A0"/>
    <w:rsid w:val="008B5BFC"/>
    <w:rsid w:val="008B5C64"/>
    <w:rsid w:val="008B5D0A"/>
    <w:rsid w:val="008B5DA8"/>
    <w:rsid w:val="008B68B1"/>
    <w:rsid w:val="008B6AC9"/>
    <w:rsid w:val="008B6CF4"/>
    <w:rsid w:val="008B6FFE"/>
    <w:rsid w:val="008B7065"/>
    <w:rsid w:val="008B71CC"/>
    <w:rsid w:val="008B75B8"/>
    <w:rsid w:val="008B7839"/>
    <w:rsid w:val="008B784D"/>
    <w:rsid w:val="008B7B9C"/>
    <w:rsid w:val="008B7DAB"/>
    <w:rsid w:val="008C0344"/>
    <w:rsid w:val="008C067A"/>
    <w:rsid w:val="008C099E"/>
    <w:rsid w:val="008C0A2F"/>
    <w:rsid w:val="008C0DB6"/>
    <w:rsid w:val="008C1099"/>
    <w:rsid w:val="008C1446"/>
    <w:rsid w:val="008C1B57"/>
    <w:rsid w:val="008C1BC5"/>
    <w:rsid w:val="008C1C0B"/>
    <w:rsid w:val="008C1C68"/>
    <w:rsid w:val="008C1C75"/>
    <w:rsid w:val="008C1E1E"/>
    <w:rsid w:val="008C1F26"/>
    <w:rsid w:val="008C1F66"/>
    <w:rsid w:val="008C1FE7"/>
    <w:rsid w:val="008C23A4"/>
    <w:rsid w:val="008C2983"/>
    <w:rsid w:val="008C2B36"/>
    <w:rsid w:val="008C2BFC"/>
    <w:rsid w:val="008C2CC7"/>
    <w:rsid w:val="008C2D5D"/>
    <w:rsid w:val="008C2D6C"/>
    <w:rsid w:val="008C3027"/>
    <w:rsid w:val="008C3586"/>
    <w:rsid w:val="008C35A3"/>
    <w:rsid w:val="008C3755"/>
    <w:rsid w:val="008C3E71"/>
    <w:rsid w:val="008C3FA3"/>
    <w:rsid w:val="008C467D"/>
    <w:rsid w:val="008C47CF"/>
    <w:rsid w:val="008C4B1E"/>
    <w:rsid w:val="008C4C89"/>
    <w:rsid w:val="008C4DEB"/>
    <w:rsid w:val="008C506E"/>
    <w:rsid w:val="008C51D3"/>
    <w:rsid w:val="008C57D3"/>
    <w:rsid w:val="008C5843"/>
    <w:rsid w:val="008C594B"/>
    <w:rsid w:val="008C5A0D"/>
    <w:rsid w:val="008C5A86"/>
    <w:rsid w:val="008C6589"/>
    <w:rsid w:val="008C6939"/>
    <w:rsid w:val="008C6DDA"/>
    <w:rsid w:val="008C71EC"/>
    <w:rsid w:val="008C78FF"/>
    <w:rsid w:val="008C9A62"/>
    <w:rsid w:val="008D09FF"/>
    <w:rsid w:val="008D0B85"/>
    <w:rsid w:val="008D0C32"/>
    <w:rsid w:val="008D1191"/>
    <w:rsid w:val="008D128B"/>
    <w:rsid w:val="008D12E0"/>
    <w:rsid w:val="008D1A5F"/>
    <w:rsid w:val="008D20D9"/>
    <w:rsid w:val="008D216D"/>
    <w:rsid w:val="008D2391"/>
    <w:rsid w:val="008D2401"/>
    <w:rsid w:val="008D2447"/>
    <w:rsid w:val="008D2536"/>
    <w:rsid w:val="008D2790"/>
    <w:rsid w:val="008D2975"/>
    <w:rsid w:val="008D2B97"/>
    <w:rsid w:val="008D2BB0"/>
    <w:rsid w:val="008D2BE4"/>
    <w:rsid w:val="008D2E9F"/>
    <w:rsid w:val="008D304F"/>
    <w:rsid w:val="008D31F1"/>
    <w:rsid w:val="008D36B1"/>
    <w:rsid w:val="008D3C86"/>
    <w:rsid w:val="008D3D63"/>
    <w:rsid w:val="008D3FA6"/>
    <w:rsid w:val="008D4313"/>
    <w:rsid w:val="008D46BB"/>
    <w:rsid w:val="008D4818"/>
    <w:rsid w:val="008D4B71"/>
    <w:rsid w:val="008D4CB1"/>
    <w:rsid w:val="008D4E9B"/>
    <w:rsid w:val="008D5068"/>
    <w:rsid w:val="008D547F"/>
    <w:rsid w:val="008D5672"/>
    <w:rsid w:val="008D56AF"/>
    <w:rsid w:val="008D57C0"/>
    <w:rsid w:val="008D596F"/>
    <w:rsid w:val="008D5BA3"/>
    <w:rsid w:val="008D6107"/>
    <w:rsid w:val="008D6778"/>
    <w:rsid w:val="008D67C3"/>
    <w:rsid w:val="008D6B0A"/>
    <w:rsid w:val="008D7202"/>
    <w:rsid w:val="008D7362"/>
    <w:rsid w:val="008D7437"/>
    <w:rsid w:val="008D75C5"/>
    <w:rsid w:val="008D7692"/>
    <w:rsid w:val="008D76B3"/>
    <w:rsid w:val="008D775F"/>
    <w:rsid w:val="008D7AA3"/>
    <w:rsid w:val="008D7E71"/>
    <w:rsid w:val="008E07D2"/>
    <w:rsid w:val="008E07E2"/>
    <w:rsid w:val="008E0997"/>
    <w:rsid w:val="008E0F4C"/>
    <w:rsid w:val="008E1316"/>
    <w:rsid w:val="008E1694"/>
    <w:rsid w:val="008E16AD"/>
    <w:rsid w:val="008E1866"/>
    <w:rsid w:val="008E2549"/>
    <w:rsid w:val="008E2603"/>
    <w:rsid w:val="008E278B"/>
    <w:rsid w:val="008E27D7"/>
    <w:rsid w:val="008E2806"/>
    <w:rsid w:val="008E283E"/>
    <w:rsid w:val="008E28EF"/>
    <w:rsid w:val="008E2ABD"/>
    <w:rsid w:val="008E2BB1"/>
    <w:rsid w:val="008E2CE2"/>
    <w:rsid w:val="008E3009"/>
    <w:rsid w:val="008E3094"/>
    <w:rsid w:val="008E3177"/>
    <w:rsid w:val="008E3382"/>
    <w:rsid w:val="008E34DE"/>
    <w:rsid w:val="008E3641"/>
    <w:rsid w:val="008E367F"/>
    <w:rsid w:val="008E3775"/>
    <w:rsid w:val="008E3820"/>
    <w:rsid w:val="008E3BF1"/>
    <w:rsid w:val="008E42DF"/>
    <w:rsid w:val="008E43B5"/>
    <w:rsid w:val="008E451C"/>
    <w:rsid w:val="008E4538"/>
    <w:rsid w:val="008E476D"/>
    <w:rsid w:val="008E4B8D"/>
    <w:rsid w:val="008E4D3B"/>
    <w:rsid w:val="008E55B6"/>
    <w:rsid w:val="008E5BEB"/>
    <w:rsid w:val="008E5D84"/>
    <w:rsid w:val="008E5FF5"/>
    <w:rsid w:val="008E6027"/>
    <w:rsid w:val="008E65DD"/>
    <w:rsid w:val="008E6694"/>
    <w:rsid w:val="008E69EC"/>
    <w:rsid w:val="008E73FB"/>
    <w:rsid w:val="008E75C6"/>
    <w:rsid w:val="008E7724"/>
    <w:rsid w:val="008E77E1"/>
    <w:rsid w:val="008E7D55"/>
    <w:rsid w:val="008E7EDC"/>
    <w:rsid w:val="008F005A"/>
    <w:rsid w:val="008F0254"/>
    <w:rsid w:val="008F02FA"/>
    <w:rsid w:val="008F03B1"/>
    <w:rsid w:val="008F0446"/>
    <w:rsid w:val="008F05F3"/>
    <w:rsid w:val="008F0668"/>
    <w:rsid w:val="008F0A77"/>
    <w:rsid w:val="008F0AA1"/>
    <w:rsid w:val="008F123C"/>
    <w:rsid w:val="008F1533"/>
    <w:rsid w:val="008F1831"/>
    <w:rsid w:val="008F192E"/>
    <w:rsid w:val="008F19F2"/>
    <w:rsid w:val="008F1CA7"/>
    <w:rsid w:val="008F1F12"/>
    <w:rsid w:val="008F20FA"/>
    <w:rsid w:val="008F254B"/>
    <w:rsid w:val="008F25A8"/>
    <w:rsid w:val="008F2828"/>
    <w:rsid w:val="008F30C8"/>
    <w:rsid w:val="008F31B9"/>
    <w:rsid w:val="008F32D6"/>
    <w:rsid w:val="008F3631"/>
    <w:rsid w:val="008F3852"/>
    <w:rsid w:val="008F38EB"/>
    <w:rsid w:val="008F3AD4"/>
    <w:rsid w:val="008F42A6"/>
    <w:rsid w:val="008F4510"/>
    <w:rsid w:val="008F458A"/>
    <w:rsid w:val="008F49EC"/>
    <w:rsid w:val="008F4F59"/>
    <w:rsid w:val="008F4F79"/>
    <w:rsid w:val="008F5213"/>
    <w:rsid w:val="008F5755"/>
    <w:rsid w:val="008F5B83"/>
    <w:rsid w:val="008F5C77"/>
    <w:rsid w:val="008F5E6A"/>
    <w:rsid w:val="008F661A"/>
    <w:rsid w:val="008F6A3A"/>
    <w:rsid w:val="008F6AEC"/>
    <w:rsid w:val="008F6D0B"/>
    <w:rsid w:val="008F70E0"/>
    <w:rsid w:val="008F7720"/>
    <w:rsid w:val="008F77C8"/>
    <w:rsid w:val="008F7A18"/>
    <w:rsid w:val="008F7E40"/>
    <w:rsid w:val="008F7EE1"/>
    <w:rsid w:val="00900833"/>
    <w:rsid w:val="00900885"/>
    <w:rsid w:val="00900FAF"/>
    <w:rsid w:val="009012A3"/>
    <w:rsid w:val="00901D25"/>
    <w:rsid w:val="0090227F"/>
    <w:rsid w:val="009022D3"/>
    <w:rsid w:val="00902446"/>
    <w:rsid w:val="00902A3E"/>
    <w:rsid w:val="00902C64"/>
    <w:rsid w:val="00902D81"/>
    <w:rsid w:val="009035AA"/>
    <w:rsid w:val="00903FED"/>
    <w:rsid w:val="00904350"/>
    <w:rsid w:val="009048A2"/>
    <w:rsid w:val="009048FB"/>
    <w:rsid w:val="00904CCC"/>
    <w:rsid w:val="00905022"/>
    <w:rsid w:val="00905AB6"/>
    <w:rsid w:val="00905AD8"/>
    <w:rsid w:val="00905F26"/>
    <w:rsid w:val="0090611A"/>
    <w:rsid w:val="0090632A"/>
    <w:rsid w:val="0090641B"/>
    <w:rsid w:val="009068AD"/>
    <w:rsid w:val="00906AE7"/>
    <w:rsid w:val="00906C7F"/>
    <w:rsid w:val="00906D95"/>
    <w:rsid w:val="009071A1"/>
    <w:rsid w:val="00907341"/>
    <w:rsid w:val="00907804"/>
    <w:rsid w:val="0090782E"/>
    <w:rsid w:val="00907D90"/>
    <w:rsid w:val="00907DE2"/>
    <w:rsid w:val="00907FC8"/>
    <w:rsid w:val="0091075A"/>
    <w:rsid w:val="00910893"/>
    <w:rsid w:val="00910D54"/>
    <w:rsid w:val="00911312"/>
    <w:rsid w:val="00911794"/>
    <w:rsid w:val="00911971"/>
    <w:rsid w:val="00911B3C"/>
    <w:rsid w:val="00911CAD"/>
    <w:rsid w:val="0091267B"/>
    <w:rsid w:val="00912770"/>
    <w:rsid w:val="00912DAB"/>
    <w:rsid w:val="00912E1C"/>
    <w:rsid w:val="009137C4"/>
    <w:rsid w:val="00913B72"/>
    <w:rsid w:val="00914342"/>
    <w:rsid w:val="00915675"/>
    <w:rsid w:val="00915996"/>
    <w:rsid w:val="00916126"/>
    <w:rsid w:val="0091645F"/>
    <w:rsid w:val="009166F6"/>
    <w:rsid w:val="009167DE"/>
    <w:rsid w:val="00916AF0"/>
    <w:rsid w:val="00916DAC"/>
    <w:rsid w:val="00916F69"/>
    <w:rsid w:val="00916FD7"/>
    <w:rsid w:val="00917537"/>
    <w:rsid w:val="00917554"/>
    <w:rsid w:val="0091788C"/>
    <w:rsid w:val="00917A4E"/>
    <w:rsid w:val="009202D5"/>
    <w:rsid w:val="00920406"/>
    <w:rsid w:val="00920437"/>
    <w:rsid w:val="00920590"/>
    <w:rsid w:val="00920E1D"/>
    <w:rsid w:val="0092100D"/>
    <w:rsid w:val="009213E5"/>
    <w:rsid w:val="009216A1"/>
    <w:rsid w:val="009216D2"/>
    <w:rsid w:val="00921A79"/>
    <w:rsid w:val="00921E9D"/>
    <w:rsid w:val="009229CE"/>
    <w:rsid w:val="009229E5"/>
    <w:rsid w:val="00922A94"/>
    <w:rsid w:val="009236F5"/>
    <w:rsid w:val="00923A3C"/>
    <w:rsid w:val="00923C28"/>
    <w:rsid w:val="00923D37"/>
    <w:rsid w:val="00923E67"/>
    <w:rsid w:val="00924580"/>
    <w:rsid w:val="00924619"/>
    <w:rsid w:val="00924643"/>
    <w:rsid w:val="009248F0"/>
    <w:rsid w:val="00924B06"/>
    <w:rsid w:val="00924FF8"/>
    <w:rsid w:val="009251A3"/>
    <w:rsid w:val="00925510"/>
    <w:rsid w:val="00925513"/>
    <w:rsid w:val="00925677"/>
    <w:rsid w:val="00925D13"/>
    <w:rsid w:val="0092624F"/>
    <w:rsid w:val="009266A6"/>
    <w:rsid w:val="00926B09"/>
    <w:rsid w:val="00926BDA"/>
    <w:rsid w:val="00926E4A"/>
    <w:rsid w:val="00927053"/>
    <w:rsid w:val="009270F6"/>
    <w:rsid w:val="009272D8"/>
    <w:rsid w:val="00927561"/>
    <w:rsid w:val="00927C10"/>
    <w:rsid w:val="00927C77"/>
    <w:rsid w:val="00927D01"/>
    <w:rsid w:val="00927D8E"/>
    <w:rsid w:val="00927DC6"/>
    <w:rsid w:val="009303CB"/>
    <w:rsid w:val="0093070E"/>
    <w:rsid w:val="00930AB6"/>
    <w:rsid w:val="00930C73"/>
    <w:rsid w:val="00930D44"/>
    <w:rsid w:val="00930DF5"/>
    <w:rsid w:val="009310CE"/>
    <w:rsid w:val="009315D7"/>
    <w:rsid w:val="00931C61"/>
    <w:rsid w:val="00931E36"/>
    <w:rsid w:val="009327A6"/>
    <w:rsid w:val="00932D0C"/>
    <w:rsid w:val="00932D2D"/>
    <w:rsid w:val="00933096"/>
    <w:rsid w:val="009330C9"/>
    <w:rsid w:val="00933472"/>
    <w:rsid w:val="00933D16"/>
    <w:rsid w:val="009341AA"/>
    <w:rsid w:val="0093422D"/>
    <w:rsid w:val="00934400"/>
    <w:rsid w:val="0093486C"/>
    <w:rsid w:val="00934EE3"/>
    <w:rsid w:val="00934FA5"/>
    <w:rsid w:val="00935056"/>
    <w:rsid w:val="0093583E"/>
    <w:rsid w:val="00935B21"/>
    <w:rsid w:val="0093608F"/>
    <w:rsid w:val="00936291"/>
    <w:rsid w:val="009363F7"/>
    <w:rsid w:val="00936441"/>
    <w:rsid w:val="00936455"/>
    <w:rsid w:val="009366AF"/>
    <w:rsid w:val="00936973"/>
    <w:rsid w:val="00936B61"/>
    <w:rsid w:val="00936DE4"/>
    <w:rsid w:val="00937290"/>
    <w:rsid w:val="009376F5"/>
    <w:rsid w:val="009377A4"/>
    <w:rsid w:val="009378C3"/>
    <w:rsid w:val="00937A11"/>
    <w:rsid w:val="00937A8F"/>
    <w:rsid w:val="00937AC5"/>
    <w:rsid w:val="00937DAD"/>
    <w:rsid w:val="00937F2E"/>
    <w:rsid w:val="009404CC"/>
    <w:rsid w:val="00940734"/>
    <w:rsid w:val="00940AB6"/>
    <w:rsid w:val="00940AB9"/>
    <w:rsid w:val="00940E55"/>
    <w:rsid w:val="0094151B"/>
    <w:rsid w:val="00941553"/>
    <w:rsid w:val="00941640"/>
    <w:rsid w:val="009417A3"/>
    <w:rsid w:val="00941AD3"/>
    <w:rsid w:val="00941ADD"/>
    <w:rsid w:val="00941E95"/>
    <w:rsid w:val="00942642"/>
    <w:rsid w:val="00942D08"/>
    <w:rsid w:val="00942F41"/>
    <w:rsid w:val="00943880"/>
    <w:rsid w:val="0094399E"/>
    <w:rsid w:val="00943B2F"/>
    <w:rsid w:val="00943CD5"/>
    <w:rsid w:val="00943D20"/>
    <w:rsid w:val="009443C2"/>
    <w:rsid w:val="009443DC"/>
    <w:rsid w:val="0094458C"/>
    <w:rsid w:val="009449BC"/>
    <w:rsid w:val="00944AD5"/>
    <w:rsid w:val="00944C6F"/>
    <w:rsid w:val="00944DF1"/>
    <w:rsid w:val="00944FDA"/>
    <w:rsid w:val="009451E6"/>
    <w:rsid w:val="00945299"/>
    <w:rsid w:val="00945430"/>
    <w:rsid w:val="00945B4F"/>
    <w:rsid w:val="00945C3E"/>
    <w:rsid w:val="00945E01"/>
    <w:rsid w:val="00946330"/>
    <w:rsid w:val="0094634B"/>
    <w:rsid w:val="0094653D"/>
    <w:rsid w:val="0094662D"/>
    <w:rsid w:val="00946BFC"/>
    <w:rsid w:val="00946F93"/>
    <w:rsid w:val="0094702B"/>
    <w:rsid w:val="00947547"/>
    <w:rsid w:val="00947799"/>
    <w:rsid w:val="00947FE8"/>
    <w:rsid w:val="0095026A"/>
    <w:rsid w:val="0095032B"/>
    <w:rsid w:val="009505CA"/>
    <w:rsid w:val="00950647"/>
    <w:rsid w:val="0095091A"/>
    <w:rsid w:val="009509FA"/>
    <w:rsid w:val="00950B82"/>
    <w:rsid w:val="00950C07"/>
    <w:rsid w:val="00950FC0"/>
    <w:rsid w:val="0095102E"/>
    <w:rsid w:val="009513CD"/>
    <w:rsid w:val="00951429"/>
    <w:rsid w:val="00951560"/>
    <w:rsid w:val="0095187C"/>
    <w:rsid w:val="00951C0F"/>
    <w:rsid w:val="00951DA4"/>
    <w:rsid w:val="009524CA"/>
    <w:rsid w:val="009526D6"/>
    <w:rsid w:val="009527DE"/>
    <w:rsid w:val="00952A75"/>
    <w:rsid w:val="00952BC2"/>
    <w:rsid w:val="00953295"/>
    <w:rsid w:val="00953458"/>
    <w:rsid w:val="00953998"/>
    <w:rsid w:val="00954011"/>
    <w:rsid w:val="00954156"/>
    <w:rsid w:val="009546EC"/>
    <w:rsid w:val="009555D9"/>
    <w:rsid w:val="009556F0"/>
    <w:rsid w:val="00955999"/>
    <w:rsid w:val="009559DB"/>
    <w:rsid w:val="00955A26"/>
    <w:rsid w:val="00955B3B"/>
    <w:rsid w:val="00955C95"/>
    <w:rsid w:val="00955FCA"/>
    <w:rsid w:val="00955FF2"/>
    <w:rsid w:val="009561F0"/>
    <w:rsid w:val="00956457"/>
    <w:rsid w:val="0095653F"/>
    <w:rsid w:val="00956A9D"/>
    <w:rsid w:val="00956C29"/>
    <w:rsid w:val="00956E8A"/>
    <w:rsid w:val="00957020"/>
    <w:rsid w:val="009570ED"/>
    <w:rsid w:val="00957401"/>
    <w:rsid w:val="00957C83"/>
    <w:rsid w:val="00957D75"/>
    <w:rsid w:val="00957D89"/>
    <w:rsid w:val="00957ECF"/>
    <w:rsid w:val="00960607"/>
    <w:rsid w:val="00960CF8"/>
    <w:rsid w:val="009612C6"/>
    <w:rsid w:val="00961544"/>
    <w:rsid w:val="00961F82"/>
    <w:rsid w:val="00962152"/>
    <w:rsid w:val="009624FE"/>
    <w:rsid w:val="009628DB"/>
    <w:rsid w:val="00963085"/>
    <w:rsid w:val="0096314E"/>
    <w:rsid w:val="00963679"/>
    <w:rsid w:val="00963687"/>
    <w:rsid w:val="00963C05"/>
    <w:rsid w:val="009640F2"/>
    <w:rsid w:val="009646FA"/>
    <w:rsid w:val="0096490B"/>
    <w:rsid w:val="00964B92"/>
    <w:rsid w:val="00964C56"/>
    <w:rsid w:val="00964CF7"/>
    <w:rsid w:val="00964E3B"/>
    <w:rsid w:val="009656FE"/>
    <w:rsid w:val="009658FE"/>
    <w:rsid w:val="00965966"/>
    <w:rsid w:val="0096644A"/>
    <w:rsid w:val="0096670D"/>
    <w:rsid w:val="009667CD"/>
    <w:rsid w:val="00966A65"/>
    <w:rsid w:val="00966E32"/>
    <w:rsid w:val="00966FE9"/>
    <w:rsid w:val="0096720F"/>
    <w:rsid w:val="0096729A"/>
    <w:rsid w:val="00967491"/>
    <w:rsid w:val="009674F8"/>
    <w:rsid w:val="0096753C"/>
    <w:rsid w:val="00967848"/>
    <w:rsid w:val="00970832"/>
    <w:rsid w:val="009708D4"/>
    <w:rsid w:val="00970D1F"/>
    <w:rsid w:val="00970D73"/>
    <w:rsid w:val="00970DFC"/>
    <w:rsid w:val="00970FC0"/>
    <w:rsid w:val="009711B9"/>
    <w:rsid w:val="0097179B"/>
    <w:rsid w:val="00971925"/>
    <w:rsid w:val="00971C1D"/>
    <w:rsid w:val="00972031"/>
    <w:rsid w:val="0097241E"/>
    <w:rsid w:val="0097244F"/>
    <w:rsid w:val="00972666"/>
    <w:rsid w:val="00972836"/>
    <w:rsid w:val="00972970"/>
    <w:rsid w:val="009729CF"/>
    <w:rsid w:val="00972A45"/>
    <w:rsid w:val="00972A80"/>
    <w:rsid w:val="00972C6C"/>
    <w:rsid w:val="00973132"/>
    <w:rsid w:val="009736FD"/>
    <w:rsid w:val="00973E5A"/>
    <w:rsid w:val="00973E7A"/>
    <w:rsid w:val="009742D8"/>
    <w:rsid w:val="009742E6"/>
    <w:rsid w:val="0097455D"/>
    <w:rsid w:val="009745A6"/>
    <w:rsid w:val="00974875"/>
    <w:rsid w:val="0097490B"/>
    <w:rsid w:val="009749F8"/>
    <w:rsid w:val="00974AC7"/>
    <w:rsid w:val="00974CBC"/>
    <w:rsid w:val="00975082"/>
    <w:rsid w:val="00975234"/>
    <w:rsid w:val="009752FC"/>
    <w:rsid w:val="00975389"/>
    <w:rsid w:val="009757B4"/>
    <w:rsid w:val="00975CD6"/>
    <w:rsid w:val="00975DBF"/>
    <w:rsid w:val="00975F0C"/>
    <w:rsid w:val="0097611A"/>
    <w:rsid w:val="009761C3"/>
    <w:rsid w:val="009761FA"/>
    <w:rsid w:val="009763B0"/>
    <w:rsid w:val="00976473"/>
    <w:rsid w:val="00976861"/>
    <w:rsid w:val="00976871"/>
    <w:rsid w:val="00976A77"/>
    <w:rsid w:val="00976C87"/>
    <w:rsid w:val="00976CA6"/>
    <w:rsid w:val="00976CCB"/>
    <w:rsid w:val="00976D0B"/>
    <w:rsid w:val="00976E77"/>
    <w:rsid w:val="00976E90"/>
    <w:rsid w:val="00976FB8"/>
    <w:rsid w:val="009774F9"/>
    <w:rsid w:val="0097764E"/>
    <w:rsid w:val="009778AC"/>
    <w:rsid w:val="009778C4"/>
    <w:rsid w:val="00977B7C"/>
    <w:rsid w:val="00977BA1"/>
    <w:rsid w:val="00977E90"/>
    <w:rsid w:val="00977F3F"/>
    <w:rsid w:val="00977FA8"/>
    <w:rsid w:val="00977FD7"/>
    <w:rsid w:val="00980321"/>
    <w:rsid w:val="0098032B"/>
    <w:rsid w:val="009808EF"/>
    <w:rsid w:val="00980BB3"/>
    <w:rsid w:val="00980C20"/>
    <w:rsid w:val="00980C53"/>
    <w:rsid w:val="00980C81"/>
    <w:rsid w:val="00980EBE"/>
    <w:rsid w:val="00981330"/>
    <w:rsid w:val="0098133E"/>
    <w:rsid w:val="0098146C"/>
    <w:rsid w:val="0098151C"/>
    <w:rsid w:val="0098153D"/>
    <w:rsid w:val="0098166F"/>
    <w:rsid w:val="00981B6C"/>
    <w:rsid w:val="00981DF9"/>
    <w:rsid w:val="00982098"/>
    <w:rsid w:val="0098214F"/>
    <w:rsid w:val="0098273C"/>
    <w:rsid w:val="00982DB4"/>
    <w:rsid w:val="00982EE6"/>
    <w:rsid w:val="00982EEE"/>
    <w:rsid w:val="00982FDD"/>
    <w:rsid w:val="009832DF"/>
    <w:rsid w:val="009837AB"/>
    <w:rsid w:val="009837E2"/>
    <w:rsid w:val="00983BA1"/>
    <w:rsid w:val="00983FC8"/>
    <w:rsid w:val="0098406F"/>
    <w:rsid w:val="00984430"/>
    <w:rsid w:val="009847C9"/>
    <w:rsid w:val="00984A98"/>
    <w:rsid w:val="00984F48"/>
    <w:rsid w:val="009851FE"/>
    <w:rsid w:val="00985341"/>
    <w:rsid w:val="0098596C"/>
    <w:rsid w:val="00985998"/>
    <w:rsid w:val="00985A09"/>
    <w:rsid w:val="00985A4B"/>
    <w:rsid w:val="00985B17"/>
    <w:rsid w:val="009863BE"/>
    <w:rsid w:val="00986CC7"/>
    <w:rsid w:val="00986DB7"/>
    <w:rsid w:val="00986DDC"/>
    <w:rsid w:val="00987561"/>
    <w:rsid w:val="009879AD"/>
    <w:rsid w:val="009879E5"/>
    <w:rsid w:val="00987AFC"/>
    <w:rsid w:val="00987C6B"/>
    <w:rsid w:val="00987CD5"/>
    <w:rsid w:val="00987E14"/>
    <w:rsid w:val="00987F5B"/>
    <w:rsid w:val="009903A0"/>
    <w:rsid w:val="009907CD"/>
    <w:rsid w:val="009909EC"/>
    <w:rsid w:val="00990C6A"/>
    <w:rsid w:val="00990D7F"/>
    <w:rsid w:val="00990EEB"/>
    <w:rsid w:val="00991118"/>
    <w:rsid w:val="00991298"/>
    <w:rsid w:val="00991543"/>
    <w:rsid w:val="00991638"/>
    <w:rsid w:val="00991A80"/>
    <w:rsid w:val="00991C99"/>
    <w:rsid w:val="009924C3"/>
    <w:rsid w:val="0099295E"/>
    <w:rsid w:val="00992977"/>
    <w:rsid w:val="00992DAF"/>
    <w:rsid w:val="00992E33"/>
    <w:rsid w:val="009930A2"/>
    <w:rsid w:val="00993268"/>
    <w:rsid w:val="009935F8"/>
    <w:rsid w:val="00993610"/>
    <w:rsid w:val="00993761"/>
    <w:rsid w:val="00993858"/>
    <w:rsid w:val="00993963"/>
    <w:rsid w:val="00993AD4"/>
    <w:rsid w:val="00993BDB"/>
    <w:rsid w:val="00993C3A"/>
    <w:rsid w:val="00993F7D"/>
    <w:rsid w:val="009940BE"/>
    <w:rsid w:val="00994234"/>
    <w:rsid w:val="00994CB2"/>
    <w:rsid w:val="00994D5E"/>
    <w:rsid w:val="00994F10"/>
    <w:rsid w:val="00994F1C"/>
    <w:rsid w:val="009950BF"/>
    <w:rsid w:val="00995384"/>
    <w:rsid w:val="009955F2"/>
    <w:rsid w:val="009958B7"/>
    <w:rsid w:val="0099665D"/>
    <w:rsid w:val="00996732"/>
    <w:rsid w:val="00996AD7"/>
    <w:rsid w:val="00996B00"/>
    <w:rsid w:val="00996C91"/>
    <w:rsid w:val="00996D5C"/>
    <w:rsid w:val="0099760D"/>
    <w:rsid w:val="00997A50"/>
    <w:rsid w:val="00997AF7"/>
    <w:rsid w:val="00997B07"/>
    <w:rsid w:val="00997B3D"/>
    <w:rsid w:val="00997B7A"/>
    <w:rsid w:val="00997B8F"/>
    <w:rsid w:val="00997E21"/>
    <w:rsid w:val="00997F60"/>
    <w:rsid w:val="00997FB0"/>
    <w:rsid w:val="009A0270"/>
    <w:rsid w:val="009A0A91"/>
    <w:rsid w:val="009A0BCD"/>
    <w:rsid w:val="009A0F52"/>
    <w:rsid w:val="009A1582"/>
    <w:rsid w:val="009A1916"/>
    <w:rsid w:val="009A19CB"/>
    <w:rsid w:val="009A2B81"/>
    <w:rsid w:val="009A2E9E"/>
    <w:rsid w:val="009A2F69"/>
    <w:rsid w:val="009A306E"/>
    <w:rsid w:val="009A3327"/>
    <w:rsid w:val="009A3525"/>
    <w:rsid w:val="009A35D3"/>
    <w:rsid w:val="009A35E7"/>
    <w:rsid w:val="009A3A40"/>
    <w:rsid w:val="009A3AFA"/>
    <w:rsid w:val="009A3DC1"/>
    <w:rsid w:val="009A4786"/>
    <w:rsid w:val="009A479C"/>
    <w:rsid w:val="009A4816"/>
    <w:rsid w:val="009A4D53"/>
    <w:rsid w:val="009A57EC"/>
    <w:rsid w:val="009A591F"/>
    <w:rsid w:val="009A597B"/>
    <w:rsid w:val="009A5C68"/>
    <w:rsid w:val="009A5E30"/>
    <w:rsid w:val="009A676D"/>
    <w:rsid w:val="009A6862"/>
    <w:rsid w:val="009A68E5"/>
    <w:rsid w:val="009A6B89"/>
    <w:rsid w:val="009A6CFC"/>
    <w:rsid w:val="009A6D97"/>
    <w:rsid w:val="009A6FED"/>
    <w:rsid w:val="009A7233"/>
    <w:rsid w:val="009A7A20"/>
    <w:rsid w:val="009A7E20"/>
    <w:rsid w:val="009B0018"/>
    <w:rsid w:val="009B066B"/>
    <w:rsid w:val="009B0676"/>
    <w:rsid w:val="009B072D"/>
    <w:rsid w:val="009B0E45"/>
    <w:rsid w:val="009B0EA4"/>
    <w:rsid w:val="009B114E"/>
    <w:rsid w:val="009B1242"/>
    <w:rsid w:val="009B130D"/>
    <w:rsid w:val="009B14C9"/>
    <w:rsid w:val="009B19AA"/>
    <w:rsid w:val="009B1D00"/>
    <w:rsid w:val="009B1D89"/>
    <w:rsid w:val="009B1FE6"/>
    <w:rsid w:val="009B2005"/>
    <w:rsid w:val="009B2106"/>
    <w:rsid w:val="009B252E"/>
    <w:rsid w:val="009B2A23"/>
    <w:rsid w:val="009B2AB7"/>
    <w:rsid w:val="009B2B86"/>
    <w:rsid w:val="009B3E20"/>
    <w:rsid w:val="009B3F4D"/>
    <w:rsid w:val="009B43D6"/>
    <w:rsid w:val="009B49B6"/>
    <w:rsid w:val="009B51CA"/>
    <w:rsid w:val="009B5295"/>
    <w:rsid w:val="009B539B"/>
    <w:rsid w:val="009B5522"/>
    <w:rsid w:val="009B5ADE"/>
    <w:rsid w:val="009B5AF7"/>
    <w:rsid w:val="009B6027"/>
    <w:rsid w:val="009B6088"/>
    <w:rsid w:val="009B618C"/>
    <w:rsid w:val="009B6C4D"/>
    <w:rsid w:val="009B6D31"/>
    <w:rsid w:val="009B7DFA"/>
    <w:rsid w:val="009B7F65"/>
    <w:rsid w:val="009C00A0"/>
    <w:rsid w:val="009C00A6"/>
    <w:rsid w:val="009C0573"/>
    <w:rsid w:val="009C061F"/>
    <w:rsid w:val="009C0734"/>
    <w:rsid w:val="009C074A"/>
    <w:rsid w:val="009C0E4E"/>
    <w:rsid w:val="009C1163"/>
    <w:rsid w:val="009C15AD"/>
    <w:rsid w:val="009C17E1"/>
    <w:rsid w:val="009C1D2C"/>
    <w:rsid w:val="009C2093"/>
    <w:rsid w:val="009C27D4"/>
    <w:rsid w:val="009C2A68"/>
    <w:rsid w:val="009C31E1"/>
    <w:rsid w:val="009C33C2"/>
    <w:rsid w:val="009C36C5"/>
    <w:rsid w:val="009C3939"/>
    <w:rsid w:val="009C39B1"/>
    <w:rsid w:val="009C3B9A"/>
    <w:rsid w:val="009C3F50"/>
    <w:rsid w:val="009C42A5"/>
    <w:rsid w:val="009C443A"/>
    <w:rsid w:val="009C4464"/>
    <w:rsid w:val="009C449B"/>
    <w:rsid w:val="009C4655"/>
    <w:rsid w:val="009C4845"/>
    <w:rsid w:val="009C499D"/>
    <w:rsid w:val="009C5010"/>
    <w:rsid w:val="009C557C"/>
    <w:rsid w:val="009C584E"/>
    <w:rsid w:val="009C5ECA"/>
    <w:rsid w:val="009C6044"/>
    <w:rsid w:val="009C6155"/>
    <w:rsid w:val="009C650C"/>
    <w:rsid w:val="009C6BC9"/>
    <w:rsid w:val="009C6D0A"/>
    <w:rsid w:val="009C6D35"/>
    <w:rsid w:val="009C7017"/>
    <w:rsid w:val="009C7367"/>
    <w:rsid w:val="009C750A"/>
    <w:rsid w:val="009C7686"/>
    <w:rsid w:val="009C7898"/>
    <w:rsid w:val="009C793E"/>
    <w:rsid w:val="009C7983"/>
    <w:rsid w:val="009C7BE1"/>
    <w:rsid w:val="009C7D35"/>
    <w:rsid w:val="009C7E19"/>
    <w:rsid w:val="009D0125"/>
    <w:rsid w:val="009D01DE"/>
    <w:rsid w:val="009D026C"/>
    <w:rsid w:val="009D0647"/>
    <w:rsid w:val="009D06B7"/>
    <w:rsid w:val="009D09F7"/>
    <w:rsid w:val="009D0A58"/>
    <w:rsid w:val="009D0A7D"/>
    <w:rsid w:val="009D0D2E"/>
    <w:rsid w:val="009D0F59"/>
    <w:rsid w:val="009D1223"/>
    <w:rsid w:val="009D1417"/>
    <w:rsid w:val="009D1734"/>
    <w:rsid w:val="009D189B"/>
    <w:rsid w:val="009D1DC9"/>
    <w:rsid w:val="009D1F65"/>
    <w:rsid w:val="009D1F92"/>
    <w:rsid w:val="009D28D0"/>
    <w:rsid w:val="009D2942"/>
    <w:rsid w:val="009D2BD1"/>
    <w:rsid w:val="009D2E72"/>
    <w:rsid w:val="009D3005"/>
    <w:rsid w:val="009D352D"/>
    <w:rsid w:val="009D3789"/>
    <w:rsid w:val="009D389B"/>
    <w:rsid w:val="009D3AD4"/>
    <w:rsid w:val="009D3DC9"/>
    <w:rsid w:val="009D3ECD"/>
    <w:rsid w:val="009D4054"/>
    <w:rsid w:val="009D4058"/>
    <w:rsid w:val="009D45D1"/>
    <w:rsid w:val="009D466B"/>
    <w:rsid w:val="009D4928"/>
    <w:rsid w:val="009D4A2C"/>
    <w:rsid w:val="009D4AC3"/>
    <w:rsid w:val="009D4D15"/>
    <w:rsid w:val="009D52C6"/>
    <w:rsid w:val="009D580F"/>
    <w:rsid w:val="009D58D4"/>
    <w:rsid w:val="009D58E9"/>
    <w:rsid w:val="009D5D0B"/>
    <w:rsid w:val="009D64BB"/>
    <w:rsid w:val="009D6835"/>
    <w:rsid w:val="009D6996"/>
    <w:rsid w:val="009D6C2F"/>
    <w:rsid w:val="009D6CD7"/>
    <w:rsid w:val="009D6D67"/>
    <w:rsid w:val="009D6DEF"/>
    <w:rsid w:val="009D7001"/>
    <w:rsid w:val="009D70B7"/>
    <w:rsid w:val="009D7576"/>
    <w:rsid w:val="009D7691"/>
    <w:rsid w:val="009D7937"/>
    <w:rsid w:val="009D7AEF"/>
    <w:rsid w:val="009D7C8B"/>
    <w:rsid w:val="009D7D6F"/>
    <w:rsid w:val="009D7EDD"/>
    <w:rsid w:val="009E00E2"/>
    <w:rsid w:val="009E03AA"/>
    <w:rsid w:val="009E062D"/>
    <w:rsid w:val="009E09AD"/>
    <w:rsid w:val="009E0C0B"/>
    <w:rsid w:val="009E0FF6"/>
    <w:rsid w:val="009E125E"/>
    <w:rsid w:val="009E1474"/>
    <w:rsid w:val="009E1498"/>
    <w:rsid w:val="009E160E"/>
    <w:rsid w:val="009E1679"/>
    <w:rsid w:val="009E1DCB"/>
    <w:rsid w:val="009E1E67"/>
    <w:rsid w:val="009E2166"/>
    <w:rsid w:val="009E27CF"/>
    <w:rsid w:val="009E27E4"/>
    <w:rsid w:val="009E2919"/>
    <w:rsid w:val="009E2994"/>
    <w:rsid w:val="009E2B5A"/>
    <w:rsid w:val="009E2C2C"/>
    <w:rsid w:val="009E2D36"/>
    <w:rsid w:val="009E334B"/>
    <w:rsid w:val="009E3773"/>
    <w:rsid w:val="009E38AC"/>
    <w:rsid w:val="009E3EEB"/>
    <w:rsid w:val="009E3F4B"/>
    <w:rsid w:val="009E44DE"/>
    <w:rsid w:val="009E48F1"/>
    <w:rsid w:val="009E4DD5"/>
    <w:rsid w:val="009E5352"/>
    <w:rsid w:val="009E53F6"/>
    <w:rsid w:val="009E5629"/>
    <w:rsid w:val="009E58BA"/>
    <w:rsid w:val="009E5E92"/>
    <w:rsid w:val="009E6195"/>
    <w:rsid w:val="009E62A7"/>
    <w:rsid w:val="009E646D"/>
    <w:rsid w:val="009E6836"/>
    <w:rsid w:val="009E6FB0"/>
    <w:rsid w:val="009E72BE"/>
    <w:rsid w:val="009E73E4"/>
    <w:rsid w:val="009E7618"/>
    <w:rsid w:val="009E7711"/>
    <w:rsid w:val="009E784A"/>
    <w:rsid w:val="009E7A73"/>
    <w:rsid w:val="009F0152"/>
    <w:rsid w:val="009F0465"/>
    <w:rsid w:val="009F09DD"/>
    <w:rsid w:val="009F0AD4"/>
    <w:rsid w:val="009F0B0D"/>
    <w:rsid w:val="009F0B77"/>
    <w:rsid w:val="009F0C87"/>
    <w:rsid w:val="009F11F4"/>
    <w:rsid w:val="009F129E"/>
    <w:rsid w:val="009F132D"/>
    <w:rsid w:val="009F174E"/>
    <w:rsid w:val="009F1B67"/>
    <w:rsid w:val="009F1B97"/>
    <w:rsid w:val="009F1E12"/>
    <w:rsid w:val="009F1E16"/>
    <w:rsid w:val="009F1E2C"/>
    <w:rsid w:val="009F1F8C"/>
    <w:rsid w:val="009F29D6"/>
    <w:rsid w:val="009F2B3F"/>
    <w:rsid w:val="009F2B73"/>
    <w:rsid w:val="009F2C8B"/>
    <w:rsid w:val="009F2EB4"/>
    <w:rsid w:val="009F30F4"/>
    <w:rsid w:val="009F387D"/>
    <w:rsid w:val="009F39B2"/>
    <w:rsid w:val="009F426B"/>
    <w:rsid w:val="009F43A5"/>
    <w:rsid w:val="009F4A69"/>
    <w:rsid w:val="009F4B3E"/>
    <w:rsid w:val="009F4BF6"/>
    <w:rsid w:val="009F5047"/>
    <w:rsid w:val="009F5084"/>
    <w:rsid w:val="009F582C"/>
    <w:rsid w:val="009F58F7"/>
    <w:rsid w:val="009F5C2E"/>
    <w:rsid w:val="009F5CEA"/>
    <w:rsid w:val="009F5D9F"/>
    <w:rsid w:val="009F5E68"/>
    <w:rsid w:val="009F6002"/>
    <w:rsid w:val="009F6004"/>
    <w:rsid w:val="009F639C"/>
    <w:rsid w:val="009F64F3"/>
    <w:rsid w:val="009F6540"/>
    <w:rsid w:val="009F66EF"/>
    <w:rsid w:val="009F6717"/>
    <w:rsid w:val="009F697D"/>
    <w:rsid w:val="009F6B8D"/>
    <w:rsid w:val="009F6BD9"/>
    <w:rsid w:val="009F6C2F"/>
    <w:rsid w:val="009F6E29"/>
    <w:rsid w:val="009F7027"/>
    <w:rsid w:val="009F7564"/>
    <w:rsid w:val="009F77E2"/>
    <w:rsid w:val="009F7879"/>
    <w:rsid w:val="009F798B"/>
    <w:rsid w:val="009F7AE3"/>
    <w:rsid w:val="009F7ED0"/>
    <w:rsid w:val="009F7EE7"/>
    <w:rsid w:val="00A00313"/>
    <w:rsid w:val="00A00369"/>
    <w:rsid w:val="00A00481"/>
    <w:rsid w:val="00A00B55"/>
    <w:rsid w:val="00A00CB5"/>
    <w:rsid w:val="00A01061"/>
    <w:rsid w:val="00A0147F"/>
    <w:rsid w:val="00A0166A"/>
    <w:rsid w:val="00A01B08"/>
    <w:rsid w:val="00A01B0B"/>
    <w:rsid w:val="00A01CA9"/>
    <w:rsid w:val="00A01CCD"/>
    <w:rsid w:val="00A01FDD"/>
    <w:rsid w:val="00A02411"/>
    <w:rsid w:val="00A028C3"/>
    <w:rsid w:val="00A02AC8"/>
    <w:rsid w:val="00A02BC0"/>
    <w:rsid w:val="00A02D7A"/>
    <w:rsid w:val="00A03453"/>
    <w:rsid w:val="00A03537"/>
    <w:rsid w:val="00A03C0D"/>
    <w:rsid w:val="00A03C44"/>
    <w:rsid w:val="00A03E3E"/>
    <w:rsid w:val="00A03E54"/>
    <w:rsid w:val="00A03E8E"/>
    <w:rsid w:val="00A04205"/>
    <w:rsid w:val="00A04241"/>
    <w:rsid w:val="00A0447F"/>
    <w:rsid w:val="00A04510"/>
    <w:rsid w:val="00A04575"/>
    <w:rsid w:val="00A046B4"/>
    <w:rsid w:val="00A04927"/>
    <w:rsid w:val="00A0497C"/>
    <w:rsid w:val="00A04F78"/>
    <w:rsid w:val="00A04F83"/>
    <w:rsid w:val="00A05032"/>
    <w:rsid w:val="00A0519C"/>
    <w:rsid w:val="00A058A2"/>
    <w:rsid w:val="00A058F3"/>
    <w:rsid w:val="00A05BA3"/>
    <w:rsid w:val="00A05D86"/>
    <w:rsid w:val="00A05F1F"/>
    <w:rsid w:val="00A05F92"/>
    <w:rsid w:val="00A060F7"/>
    <w:rsid w:val="00A063EA"/>
    <w:rsid w:val="00A0684B"/>
    <w:rsid w:val="00A06987"/>
    <w:rsid w:val="00A069A2"/>
    <w:rsid w:val="00A06D64"/>
    <w:rsid w:val="00A06DF7"/>
    <w:rsid w:val="00A0766E"/>
    <w:rsid w:val="00A07749"/>
    <w:rsid w:val="00A078B4"/>
    <w:rsid w:val="00A07B79"/>
    <w:rsid w:val="00A07CB3"/>
    <w:rsid w:val="00A07CEE"/>
    <w:rsid w:val="00A1031D"/>
    <w:rsid w:val="00A106C7"/>
    <w:rsid w:val="00A111B3"/>
    <w:rsid w:val="00A11871"/>
    <w:rsid w:val="00A11B55"/>
    <w:rsid w:val="00A12014"/>
    <w:rsid w:val="00A12048"/>
    <w:rsid w:val="00A1267D"/>
    <w:rsid w:val="00A12A07"/>
    <w:rsid w:val="00A13675"/>
    <w:rsid w:val="00A1399E"/>
    <w:rsid w:val="00A14299"/>
    <w:rsid w:val="00A14506"/>
    <w:rsid w:val="00A147FC"/>
    <w:rsid w:val="00A14888"/>
    <w:rsid w:val="00A149D8"/>
    <w:rsid w:val="00A14A03"/>
    <w:rsid w:val="00A14A1B"/>
    <w:rsid w:val="00A14A66"/>
    <w:rsid w:val="00A14C36"/>
    <w:rsid w:val="00A155F2"/>
    <w:rsid w:val="00A15987"/>
    <w:rsid w:val="00A15ABD"/>
    <w:rsid w:val="00A15B3A"/>
    <w:rsid w:val="00A15B44"/>
    <w:rsid w:val="00A15D13"/>
    <w:rsid w:val="00A162F3"/>
    <w:rsid w:val="00A163A2"/>
    <w:rsid w:val="00A163D5"/>
    <w:rsid w:val="00A16AA9"/>
    <w:rsid w:val="00A16C44"/>
    <w:rsid w:val="00A16D51"/>
    <w:rsid w:val="00A17004"/>
    <w:rsid w:val="00A177BD"/>
    <w:rsid w:val="00A1797C"/>
    <w:rsid w:val="00A17AC2"/>
    <w:rsid w:val="00A17CD9"/>
    <w:rsid w:val="00A17DA4"/>
    <w:rsid w:val="00A17DDD"/>
    <w:rsid w:val="00A201F0"/>
    <w:rsid w:val="00A20281"/>
    <w:rsid w:val="00A2060D"/>
    <w:rsid w:val="00A20689"/>
    <w:rsid w:val="00A208F9"/>
    <w:rsid w:val="00A20B44"/>
    <w:rsid w:val="00A20BC0"/>
    <w:rsid w:val="00A21564"/>
    <w:rsid w:val="00A217B2"/>
    <w:rsid w:val="00A21A12"/>
    <w:rsid w:val="00A21A68"/>
    <w:rsid w:val="00A21C26"/>
    <w:rsid w:val="00A2236B"/>
    <w:rsid w:val="00A22934"/>
    <w:rsid w:val="00A22F7F"/>
    <w:rsid w:val="00A235CB"/>
    <w:rsid w:val="00A2391D"/>
    <w:rsid w:val="00A239C2"/>
    <w:rsid w:val="00A23A78"/>
    <w:rsid w:val="00A23AFB"/>
    <w:rsid w:val="00A23C4C"/>
    <w:rsid w:val="00A23F75"/>
    <w:rsid w:val="00A23FA4"/>
    <w:rsid w:val="00A24278"/>
    <w:rsid w:val="00A24290"/>
    <w:rsid w:val="00A24F7C"/>
    <w:rsid w:val="00A25374"/>
    <w:rsid w:val="00A25764"/>
    <w:rsid w:val="00A25856"/>
    <w:rsid w:val="00A258EE"/>
    <w:rsid w:val="00A25B56"/>
    <w:rsid w:val="00A25CED"/>
    <w:rsid w:val="00A25FC9"/>
    <w:rsid w:val="00A2602B"/>
    <w:rsid w:val="00A26454"/>
    <w:rsid w:val="00A2659D"/>
    <w:rsid w:val="00A26E46"/>
    <w:rsid w:val="00A26F58"/>
    <w:rsid w:val="00A27C39"/>
    <w:rsid w:val="00A27C3B"/>
    <w:rsid w:val="00A30044"/>
    <w:rsid w:val="00A309E5"/>
    <w:rsid w:val="00A30B2D"/>
    <w:rsid w:val="00A30EF5"/>
    <w:rsid w:val="00A311D7"/>
    <w:rsid w:val="00A31429"/>
    <w:rsid w:val="00A314FE"/>
    <w:rsid w:val="00A31660"/>
    <w:rsid w:val="00A3184B"/>
    <w:rsid w:val="00A31C97"/>
    <w:rsid w:val="00A31DB0"/>
    <w:rsid w:val="00A31E34"/>
    <w:rsid w:val="00A32518"/>
    <w:rsid w:val="00A326CF"/>
    <w:rsid w:val="00A3295F"/>
    <w:rsid w:val="00A32AAC"/>
    <w:rsid w:val="00A32B4B"/>
    <w:rsid w:val="00A32CA4"/>
    <w:rsid w:val="00A33879"/>
    <w:rsid w:val="00A3398D"/>
    <w:rsid w:val="00A33A1B"/>
    <w:rsid w:val="00A3446E"/>
    <w:rsid w:val="00A344AC"/>
    <w:rsid w:val="00A345CA"/>
    <w:rsid w:val="00A34725"/>
    <w:rsid w:val="00A34B6A"/>
    <w:rsid w:val="00A34D68"/>
    <w:rsid w:val="00A34D94"/>
    <w:rsid w:val="00A34F79"/>
    <w:rsid w:val="00A34FDD"/>
    <w:rsid w:val="00A3518B"/>
    <w:rsid w:val="00A35541"/>
    <w:rsid w:val="00A35592"/>
    <w:rsid w:val="00A356B1"/>
    <w:rsid w:val="00A35849"/>
    <w:rsid w:val="00A3584A"/>
    <w:rsid w:val="00A35958"/>
    <w:rsid w:val="00A35C70"/>
    <w:rsid w:val="00A35D16"/>
    <w:rsid w:val="00A35D1B"/>
    <w:rsid w:val="00A35E21"/>
    <w:rsid w:val="00A35E62"/>
    <w:rsid w:val="00A35EF0"/>
    <w:rsid w:val="00A36201"/>
    <w:rsid w:val="00A3654E"/>
    <w:rsid w:val="00A36576"/>
    <w:rsid w:val="00A36AC1"/>
    <w:rsid w:val="00A36B9A"/>
    <w:rsid w:val="00A36CE3"/>
    <w:rsid w:val="00A36F09"/>
    <w:rsid w:val="00A36F20"/>
    <w:rsid w:val="00A37440"/>
    <w:rsid w:val="00A4000E"/>
    <w:rsid w:val="00A40306"/>
    <w:rsid w:val="00A40693"/>
    <w:rsid w:val="00A4148A"/>
    <w:rsid w:val="00A41653"/>
    <w:rsid w:val="00A417C9"/>
    <w:rsid w:val="00A41C80"/>
    <w:rsid w:val="00A42150"/>
    <w:rsid w:val="00A422B3"/>
    <w:rsid w:val="00A422F3"/>
    <w:rsid w:val="00A4263B"/>
    <w:rsid w:val="00A43070"/>
    <w:rsid w:val="00A43819"/>
    <w:rsid w:val="00A43C5C"/>
    <w:rsid w:val="00A43F88"/>
    <w:rsid w:val="00A44201"/>
    <w:rsid w:val="00A44535"/>
    <w:rsid w:val="00A44D9C"/>
    <w:rsid w:val="00A45126"/>
    <w:rsid w:val="00A454B6"/>
    <w:rsid w:val="00A45500"/>
    <w:rsid w:val="00A45629"/>
    <w:rsid w:val="00A4589B"/>
    <w:rsid w:val="00A459BB"/>
    <w:rsid w:val="00A4601F"/>
    <w:rsid w:val="00A465C8"/>
    <w:rsid w:val="00A46646"/>
    <w:rsid w:val="00A46904"/>
    <w:rsid w:val="00A47202"/>
    <w:rsid w:val="00A474CE"/>
    <w:rsid w:val="00A47A40"/>
    <w:rsid w:val="00A47B4E"/>
    <w:rsid w:val="00A47B74"/>
    <w:rsid w:val="00A47B8F"/>
    <w:rsid w:val="00A47B9E"/>
    <w:rsid w:val="00A50118"/>
    <w:rsid w:val="00A50219"/>
    <w:rsid w:val="00A505CE"/>
    <w:rsid w:val="00A50A29"/>
    <w:rsid w:val="00A50B74"/>
    <w:rsid w:val="00A50F78"/>
    <w:rsid w:val="00A510E3"/>
    <w:rsid w:val="00A51466"/>
    <w:rsid w:val="00A516D5"/>
    <w:rsid w:val="00A516FD"/>
    <w:rsid w:val="00A5179E"/>
    <w:rsid w:val="00A51812"/>
    <w:rsid w:val="00A51A90"/>
    <w:rsid w:val="00A51AC8"/>
    <w:rsid w:val="00A51B1A"/>
    <w:rsid w:val="00A51BDF"/>
    <w:rsid w:val="00A51C71"/>
    <w:rsid w:val="00A51C8C"/>
    <w:rsid w:val="00A52081"/>
    <w:rsid w:val="00A526F0"/>
    <w:rsid w:val="00A527BA"/>
    <w:rsid w:val="00A5281A"/>
    <w:rsid w:val="00A5290F"/>
    <w:rsid w:val="00A52A00"/>
    <w:rsid w:val="00A533EA"/>
    <w:rsid w:val="00A5344A"/>
    <w:rsid w:val="00A537A2"/>
    <w:rsid w:val="00A537DC"/>
    <w:rsid w:val="00A53913"/>
    <w:rsid w:val="00A53AD5"/>
    <w:rsid w:val="00A53BA4"/>
    <w:rsid w:val="00A54012"/>
    <w:rsid w:val="00A541F0"/>
    <w:rsid w:val="00A54AC7"/>
    <w:rsid w:val="00A54F8C"/>
    <w:rsid w:val="00A55109"/>
    <w:rsid w:val="00A55AFD"/>
    <w:rsid w:val="00A55E22"/>
    <w:rsid w:val="00A560FA"/>
    <w:rsid w:val="00A561CA"/>
    <w:rsid w:val="00A5621C"/>
    <w:rsid w:val="00A562F6"/>
    <w:rsid w:val="00A5665B"/>
    <w:rsid w:val="00A568AD"/>
    <w:rsid w:val="00A56AF5"/>
    <w:rsid w:val="00A56E59"/>
    <w:rsid w:val="00A56E69"/>
    <w:rsid w:val="00A57487"/>
    <w:rsid w:val="00A576E8"/>
    <w:rsid w:val="00A57823"/>
    <w:rsid w:val="00A57933"/>
    <w:rsid w:val="00A57A58"/>
    <w:rsid w:val="00A57E2B"/>
    <w:rsid w:val="00A57ED0"/>
    <w:rsid w:val="00A57F5F"/>
    <w:rsid w:val="00A60170"/>
    <w:rsid w:val="00A60375"/>
    <w:rsid w:val="00A603B1"/>
    <w:rsid w:val="00A60493"/>
    <w:rsid w:val="00A60499"/>
    <w:rsid w:val="00A609C5"/>
    <w:rsid w:val="00A60A40"/>
    <w:rsid w:val="00A60A67"/>
    <w:rsid w:val="00A60B36"/>
    <w:rsid w:val="00A60B9B"/>
    <w:rsid w:val="00A61328"/>
    <w:rsid w:val="00A61552"/>
    <w:rsid w:val="00A61BF6"/>
    <w:rsid w:val="00A61F44"/>
    <w:rsid w:val="00A61FF7"/>
    <w:rsid w:val="00A62795"/>
    <w:rsid w:val="00A62B36"/>
    <w:rsid w:val="00A62CB2"/>
    <w:rsid w:val="00A62F11"/>
    <w:rsid w:val="00A633E7"/>
    <w:rsid w:val="00A6359F"/>
    <w:rsid w:val="00A636D7"/>
    <w:rsid w:val="00A63707"/>
    <w:rsid w:val="00A639B0"/>
    <w:rsid w:val="00A63B77"/>
    <w:rsid w:val="00A63C43"/>
    <w:rsid w:val="00A63D9D"/>
    <w:rsid w:val="00A64044"/>
    <w:rsid w:val="00A6411F"/>
    <w:rsid w:val="00A644FE"/>
    <w:rsid w:val="00A6463F"/>
    <w:rsid w:val="00A64D1C"/>
    <w:rsid w:val="00A64ED1"/>
    <w:rsid w:val="00A64FAA"/>
    <w:rsid w:val="00A65144"/>
    <w:rsid w:val="00A6515A"/>
    <w:rsid w:val="00A6536D"/>
    <w:rsid w:val="00A65607"/>
    <w:rsid w:val="00A65C6F"/>
    <w:rsid w:val="00A65EE6"/>
    <w:rsid w:val="00A65F0A"/>
    <w:rsid w:val="00A663E3"/>
    <w:rsid w:val="00A6653A"/>
    <w:rsid w:val="00A6659C"/>
    <w:rsid w:val="00A669B4"/>
    <w:rsid w:val="00A66D3E"/>
    <w:rsid w:val="00A67386"/>
    <w:rsid w:val="00A677B0"/>
    <w:rsid w:val="00A6780A"/>
    <w:rsid w:val="00A67866"/>
    <w:rsid w:val="00A67DD2"/>
    <w:rsid w:val="00A67DFD"/>
    <w:rsid w:val="00A67E23"/>
    <w:rsid w:val="00A7003E"/>
    <w:rsid w:val="00A700E2"/>
    <w:rsid w:val="00A70353"/>
    <w:rsid w:val="00A70699"/>
    <w:rsid w:val="00A70796"/>
    <w:rsid w:val="00A70B6F"/>
    <w:rsid w:val="00A70CF5"/>
    <w:rsid w:val="00A70FB4"/>
    <w:rsid w:val="00A71794"/>
    <w:rsid w:val="00A71D37"/>
    <w:rsid w:val="00A71DED"/>
    <w:rsid w:val="00A71EE0"/>
    <w:rsid w:val="00A729A5"/>
    <w:rsid w:val="00A72A65"/>
    <w:rsid w:val="00A72C28"/>
    <w:rsid w:val="00A72EF7"/>
    <w:rsid w:val="00A72F4B"/>
    <w:rsid w:val="00A73373"/>
    <w:rsid w:val="00A736C1"/>
    <w:rsid w:val="00A73AAD"/>
    <w:rsid w:val="00A73ABC"/>
    <w:rsid w:val="00A73F5E"/>
    <w:rsid w:val="00A741A1"/>
    <w:rsid w:val="00A7470D"/>
    <w:rsid w:val="00A74BEB"/>
    <w:rsid w:val="00A74C0F"/>
    <w:rsid w:val="00A74F30"/>
    <w:rsid w:val="00A7515F"/>
    <w:rsid w:val="00A75355"/>
    <w:rsid w:val="00A753CA"/>
    <w:rsid w:val="00A754F7"/>
    <w:rsid w:val="00A758D1"/>
    <w:rsid w:val="00A759D2"/>
    <w:rsid w:val="00A75A3C"/>
    <w:rsid w:val="00A75BB5"/>
    <w:rsid w:val="00A75BDB"/>
    <w:rsid w:val="00A75F20"/>
    <w:rsid w:val="00A76084"/>
    <w:rsid w:val="00A76123"/>
    <w:rsid w:val="00A764D5"/>
    <w:rsid w:val="00A76560"/>
    <w:rsid w:val="00A76675"/>
    <w:rsid w:val="00A76B05"/>
    <w:rsid w:val="00A772F3"/>
    <w:rsid w:val="00A77676"/>
    <w:rsid w:val="00A7767A"/>
    <w:rsid w:val="00A77865"/>
    <w:rsid w:val="00A77AAA"/>
    <w:rsid w:val="00A77CF9"/>
    <w:rsid w:val="00A77DC5"/>
    <w:rsid w:val="00A8027D"/>
    <w:rsid w:val="00A80459"/>
    <w:rsid w:val="00A805E2"/>
    <w:rsid w:val="00A80937"/>
    <w:rsid w:val="00A80C13"/>
    <w:rsid w:val="00A81167"/>
    <w:rsid w:val="00A81485"/>
    <w:rsid w:val="00A81656"/>
    <w:rsid w:val="00A8171C"/>
    <w:rsid w:val="00A819B3"/>
    <w:rsid w:val="00A819BA"/>
    <w:rsid w:val="00A81A0E"/>
    <w:rsid w:val="00A81AF8"/>
    <w:rsid w:val="00A81B0E"/>
    <w:rsid w:val="00A81B61"/>
    <w:rsid w:val="00A81CEB"/>
    <w:rsid w:val="00A82030"/>
    <w:rsid w:val="00A82746"/>
    <w:rsid w:val="00A82770"/>
    <w:rsid w:val="00A82C92"/>
    <w:rsid w:val="00A83013"/>
    <w:rsid w:val="00A831F3"/>
    <w:rsid w:val="00A832AA"/>
    <w:rsid w:val="00A8369C"/>
    <w:rsid w:val="00A8395E"/>
    <w:rsid w:val="00A83997"/>
    <w:rsid w:val="00A83BB2"/>
    <w:rsid w:val="00A83C1F"/>
    <w:rsid w:val="00A83C39"/>
    <w:rsid w:val="00A83E03"/>
    <w:rsid w:val="00A83FC3"/>
    <w:rsid w:val="00A84088"/>
    <w:rsid w:val="00A84204"/>
    <w:rsid w:val="00A84604"/>
    <w:rsid w:val="00A84D2D"/>
    <w:rsid w:val="00A84DB0"/>
    <w:rsid w:val="00A8575E"/>
    <w:rsid w:val="00A858C5"/>
    <w:rsid w:val="00A85C41"/>
    <w:rsid w:val="00A85E91"/>
    <w:rsid w:val="00A85F58"/>
    <w:rsid w:val="00A86113"/>
    <w:rsid w:val="00A86A5D"/>
    <w:rsid w:val="00A86E88"/>
    <w:rsid w:val="00A8788A"/>
    <w:rsid w:val="00A87C10"/>
    <w:rsid w:val="00A87C7A"/>
    <w:rsid w:val="00A87F71"/>
    <w:rsid w:val="00A9004F"/>
    <w:rsid w:val="00A90170"/>
    <w:rsid w:val="00A905EA"/>
    <w:rsid w:val="00A9084A"/>
    <w:rsid w:val="00A90B16"/>
    <w:rsid w:val="00A90D31"/>
    <w:rsid w:val="00A90FBC"/>
    <w:rsid w:val="00A91260"/>
    <w:rsid w:val="00A91648"/>
    <w:rsid w:val="00A916D5"/>
    <w:rsid w:val="00A91700"/>
    <w:rsid w:val="00A9178D"/>
    <w:rsid w:val="00A917E9"/>
    <w:rsid w:val="00A91F47"/>
    <w:rsid w:val="00A92256"/>
    <w:rsid w:val="00A928D2"/>
    <w:rsid w:val="00A92908"/>
    <w:rsid w:val="00A9318C"/>
    <w:rsid w:val="00A932E5"/>
    <w:rsid w:val="00A93AEB"/>
    <w:rsid w:val="00A93D30"/>
    <w:rsid w:val="00A93DED"/>
    <w:rsid w:val="00A93F86"/>
    <w:rsid w:val="00A941C5"/>
    <w:rsid w:val="00A94C7E"/>
    <w:rsid w:val="00A94F05"/>
    <w:rsid w:val="00A94F6E"/>
    <w:rsid w:val="00A94FBE"/>
    <w:rsid w:val="00A951D5"/>
    <w:rsid w:val="00A9541C"/>
    <w:rsid w:val="00A9599F"/>
    <w:rsid w:val="00A95EC2"/>
    <w:rsid w:val="00A964FC"/>
    <w:rsid w:val="00A966B8"/>
    <w:rsid w:val="00A96A47"/>
    <w:rsid w:val="00A96C49"/>
    <w:rsid w:val="00A96E88"/>
    <w:rsid w:val="00A96EB9"/>
    <w:rsid w:val="00A9716A"/>
    <w:rsid w:val="00A973B9"/>
    <w:rsid w:val="00A974E6"/>
    <w:rsid w:val="00A9765B"/>
    <w:rsid w:val="00A9791F"/>
    <w:rsid w:val="00AA0023"/>
    <w:rsid w:val="00AA05EA"/>
    <w:rsid w:val="00AA0B2C"/>
    <w:rsid w:val="00AA0FA7"/>
    <w:rsid w:val="00AA1191"/>
    <w:rsid w:val="00AA160D"/>
    <w:rsid w:val="00AA1727"/>
    <w:rsid w:val="00AA1850"/>
    <w:rsid w:val="00AA1C11"/>
    <w:rsid w:val="00AA1C38"/>
    <w:rsid w:val="00AA1D68"/>
    <w:rsid w:val="00AA1F28"/>
    <w:rsid w:val="00AA209C"/>
    <w:rsid w:val="00AA20F8"/>
    <w:rsid w:val="00AA24AB"/>
    <w:rsid w:val="00AA2A9E"/>
    <w:rsid w:val="00AA2DF9"/>
    <w:rsid w:val="00AA2E3A"/>
    <w:rsid w:val="00AA2ED4"/>
    <w:rsid w:val="00AA30DC"/>
    <w:rsid w:val="00AA318E"/>
    <w:rsid w:val="00AA3291"/>
    <w:rsid w:val="00AA3487"/>
    <w:rsid w:val="00AA37C0"/>
    <w:rsid w:val="00AA3865"/>
    <w:rsid w:val="00AA3B18"/>
    <w:rsid w:val="00AA3C0B"/>
    <w:rsid w:val="00AA4FA3"/>
    <w:rsid w:val="00AA50BE"/>
    <w:rsid w:val="00AA51F0"/>
    <w:rsid w:val="00AA5694"/>
    <w:rsid w:val="00AA59BF"/>
    <w:rsid w:val="00AA5B1A"/>
    <w:rsid w:val="00AA5BB8"/>
    <w:rsid w:val="00AA5D81"/>
    <w:rsid w:val="00AA5FCA"/>
    <w:rsid w:val="00AA634D"/>
    <w:rsid w:val="00AA648D"/>
    <w:rsid w:val="00AA683A"/>
    <w:rsid w:val="00AA6C6C"/>
    <w:rsid w:val="00AA6E51"/>
    <w:rsid w:val="00AA736B"/>
    <w:rsid w:val="00AA74DB"/>
    <w:rsid w:val="00AA7521"/>
    <w:rsid w:val="00AA76D3"/>
    <w:rsid w:val="00AA78C0"/>
    <w:rsid w:val="00AA78E9"/>
    <w:rsid w:val="00AA793E"/>
    <w:rsid w:val="00AA79A8"/>
    <w:rsid w:val="00AA7D53"/>
    <w:rsid w:val="00AB063B"/>
    <w:rsid w:val="00AB06D5"/>
    <w:rsid w:val="00AB07A9"/>
    <w:rsid w:val="00AB07B2"/>
    <w:rsid w:val="00AB0C88"/>
    <w:rsid w:val="00AB0F2A"/>
    <w:rsid w:val="00AB122E"/>
    <w:rsid w:val="00AB12B1"/>
    <w:rsid w:val="00AB12CB"/>
    <w:rsid w:val="00AB139E"/>
    <w:rsid w:val="00AB1897"/>
    <w:rsid w:val="00AB1987"/>
    <w:rsid w:val="00AB2514"/>
    <w:rsid w:val="00AB25EE"/>
    <w:rsid w:val="00AB28F3"/>
    <w:rsid w:val="00AB2A77"/>
    <w:rsid w:val="00AB2B18"/>
    <w:rsid w:val="00AB2F81"/>
    <w:rsid w:val="00AB2FA7"/>
    <w:rsid w:val="00AB3515"/>
    <w:rsid w:val="00AB39F9"/>
    <w:rsid w:val="00AB3A15"/>
    <w:rsid w:val="00AB3F42"/>
    <w:rsid w:val="00AB41FE"/>
    <w:rsid w:val="00AB438B"/>
    <w:rsid w:val="00AB4653"/>
    <w:rsid w:val="00AB4DE1"/>
    <w:rsid w:val="00AB51F8"/>
    <w:rsid w:val="00AB523E"/>
    <w:rsid w:val="00AB5619"/>
    <w:rsid w:val="00AB5B89"/>
    <w:rsid w:val="00AB5DA8"/>
    <w:rsid w:val="00AB5FCE"/>
    <w:rsid w:val="00AB648E"/>
    <w:rsid w:val="00AB6AF9"/>
    <w:rsid w:val="00AB6C78"/>
    <w:rsid w:val="00AB6CF2"/>
    <w:rsid w:val="00AB7315"/>
    <w:rsid w:val="00AB751C"/>
    <w:rsid w:val="00AB7A47"/>
    <w:rsid w:val="00AB7EC8"/>
    <w:rsid w:val="00AC02B3"/>
    <w:rsid w:val="00AC0526"/>
    <w:rsid w:val="00AC05E7"/>
    <w:rsid w:val="00AC0744"/>
    <w:rsid w:val="00AC0B88"/>
    <w:rsid w:val="00AC0FCA"/>
    <w:rsid w:val="00AC1054"/>
    <w:rsid w:val="00AC10BE"/>
    <w:rsid w:val="00AC122A"/>
    <w:rsid w:val="00AC17A6"/>
    <w:rsid w:val="00AC181D"/>
    <w:rsid w:val="00AC188B"/>
    <w:rsid w:val="00AC1D5C"/>
    <w:rsid w:val="00AC240E"/>
    <w:rsid w:val="00AC296C"/>
    <w:rsid w:val="00AC301D"/>
    <w:rsid w:val="00AC36F9"/>
    <w:rsid w:val="00AC379C"/>
    <w:rsid w:val="00AC3951"/>
    <w:rsid w:val="00AC39C1"/>
    <w:rsid w:val="00AC3B4E"/>
    <w:rsid w:val="00AC3BBF"/>
    <w:rsid w:val="00AC3CBB"/>
    <w:rsid w:val="00AC3E26"/>
    <w:rsid w:val="00AC43B7"/>
    <w:rsid w:val="00AC4BB1"/>
    <w:rsid w:val="00AC4F9C"/>
    <w:rsid w:val="00AC514C"/>
    <w:rsid w:val="00AC5660"/>
    <w:rsid w:val="00AC5BDC"/>
    <w:rsid w:val="00AC5FB2"/>
    <w:rsid w:val="00AC62D6"/>
    <w:rsid w:val="00AC64E6"/>
    <w:rsid w:val="00AC6B49"/>
    <w:rsid w:val="00AC6C19"/>
    <w:rsid w:val="00AC6ED7"/>
    <w:rsid w:val="00AC6FA9"/>
    <w:rsid w:val="00AC6FFF"/>
    <w:rsid w:val="00AC72E1"/>
    <w:rsid w:val="00AC7337"/>
    <w:rsid w:val="00AC73C2"/>
    <w:rsid w:val="00AC7453"/>
    <w:rsid w:val="00AC76B5"/>
    <w:rsid w:val="00AC7750"/>
    <w:rsid w:val="00AC7A7D"/>
    <w:rsid w:val="00AC7EB1"/>
    <w:rsid w:val="00AD0800"/>
    <w:rsid w:val="00AD0974"/>
    <w:rsid w:val="00AD0A9C"/>
    <w:rsid w:val="00AD0F6D"/>
    <w:rsid w:val="00AD1001"/>
    <w:rsid w:val="00AD1193"/>
    <w:rsid w:val="00AD1AD8"/>
    <w:rsid w:val="00AD1CB1"/>
    <w:rsid w:val="00AD1F70"/>
    <w:rsid w:val="00AD22F5"/>
    <w:rsid w:val="00AD2851"/>
    <w:rsid w:val="00AD285D"/>
    <w:rsid w:val="00AD2B98"/>
    <w:rsid w:val="00AD2EEC"/>
    <w:rsid w:val="00AD3356"/>
    <w:rsid w:val="00AD35F9"/>
    <w:rsid w:val="00AD36CE"/>
    <w:rsid w:val="00AD39C6"/>
    <w:rsid w:val="00AD3CB1"/>
    <w:rsid w:val="00AD3D15"/>
    <w:rsid w:val="00AD3FFE"/>
    <w:rsid w:val="00AD401B"/>
    <w:rsid w:val="00AD4338"/>
    <w:rsid w:val="00AD478D"/>
    <w:rsid w:val="00AD4929"/>
    <w:rsid w:val="00AD5335"/>
    <w:rsid w:val="00AD5385"/>
    <w:rsid w:val="00AD556C"/>
    <w:rsid w:val="00AD5D54"/>
    <w:rsid w:val="00AD6121"/>
    <w:rsid w:val="00AD66DD"/>
    <w:rsid w:val="00AD6808"/>
    <w:rsid w:val="00AD6A47"/>
    <w:rsid w:val="00AD6B0C"/>
    <w:rsid w:val="00AD6B21"/>
    <w:rsid w:val="00AD6B6B"/>
    <w:rsid w:val="00AD7069"/>
    <w:rsid w:val="00AD719A"/>
    <w:rsid w:val="00AD78E6"/>
    <w:rsid w:val="00AD7B02"/>
    <w:rsid w:val="00AD7F5F"/>
    <w:rsid w:val="00AE03DC"/>
    <w:rsid w:val="00AE094F"/>
    <w:rsid w:val="00AE0F0E"/>
    <w:rsid w:val="00AE0F25"/>
    <w:rsid w:val="00AE1154"/>
    <w:rsid w:val="00AE11C7"/>
    <w:rsid w:val="00AE1397"/>
    <w:rsid w:val="00AE159A"/>
    <w:rsid w:val="00AE15D6"/>
    <w:rsid w:val="00AE166A"/>
    <w:rsid w:val="00AE1B13"/>
    <w:rsid w:val="00AE1B52"/>
    <w:rsid w:val="00AE1DE2"/>
    <w:rsid w:val="00AE2255"/>
    <w:rsid w:val="00AE25CE"/>
    <w:rsid w:val="00AE2A29"/>
    <w:rsid w:val="00AE2D6F"/>
    <w:rsid w:val="00AE2E0B"/>
    <w:rsid w:val="00AE322A"/>
    <w:rsid w:val="00AE3318"/>
    <w:rsid w:val="00AE3377"/>
    <w:rsid w:val="00AE342C"/>
    <w:rsid w:val="00AE3654"/>
    <w:rsid w:val="00AE389A"/>
    <w:rsid w:val="00AE3D25"/>
    <w:rsid w:val="00AE46B0"/>
    <w:rsid w:val="00AE488E"/>
    <w:rsid w:val="00AE53B6"/>
    <w:rsid w:val="00AE583B"/>
    <w:rsid w:val="00AE59A5"/>
    <w:rsid w:val="00AE5B82"/>
    <w:rsid w:val="00AE5BA1"/>
    <w:rsid w:val="00AE5EA1"/>
    <w:rsid w:val="00AE6022"/>
    <w:rsid w:val="00AE6070"/>
    <w:rsid w:val="00AE61B8"/>
    <w:rsid w:val="00AE6616"/>
    <w:rsid w:val="00AE67D4"/>
    <w:rsid w:val="00AE67DE"/>
    <w:rsid w:val="00AE689B"/>
    <w:rsid w:val="00AE6ABF"/>
    <w:rsid w:val="00AE6D22"/>
    <w:rsid w:val="00AE6F9E"/>
    <w:rsid w:val="00AE74EE"/>
    <w:rsid w:val="00AE76BA"/>
    <w:rsid w:val="00AE7B37"/>
    <w:rsid w:val="00AE7B63"/>
    <w:rsid w:val="00AE7BD5"/>
    <w:rsid w:val="00AE7DEB"/>
    <w:rsid w:val="00AE7E6D"/>
    <w:rsid w:val="00AF03AA"/>
    <w:rsid w:val="00AF08A2"/>
    <w:rsid w:val="00AF0B20"/>
    <w:rsid w:val="00AF0BD1"/>
    <w:rsid w:val="00AF0CF0"/>
    <w:rsid w:val="00AF0EAD"/>
    <w:rsid w:val="00AF1147"/>
    <w:rsid w:val="00AF1251"/>
    <w:rsid w:val="00AF136F"/>
    <w:rsid w:val="00AF1495"/>
    <w:rsid w:val="00AF19FF"/>
    <w:rsid w:val="00AF1D18"/>
    <w:rsid w:val="00AF1F8F"/>
    <w:rsid w:val="00AF23D8"/>
    <w:rsid w:val="00AF2D99"/>
    <w:rsid w:val="00AF30C2"/>
    <w:rsid w:val="00AF3486"/>
    <w:rsid w:val="00AF35F5"/>
    <w:rsid w:val="00AF3648"/>
    <w:rsid w:val="00AF3ABE"/>
    <w:rsid w:val="00AF3BA3"/>
    <w:rsid w:val="00AF3CA5"/>
    <w:rsid w:val="00AF3D2A"/>
    <w:rsid w:val="00AF3FAD"/>
    <w:rsid w:val="00AF4099"/>
    <w:rsid w:val="00AF4856"/>
    <w:rsid w:val="00AF52EE"/>
    <w:rsid w:val="00AF5741"/>
    <w:rsid w:val="00AF5903"/>
    <w:rsid w:val="00AF5A74"/>
    <w:rsid w:val="00AF5C5D"/>
    <w:rsid w:val="00AF5F35"/>
    <w:rsid w:val="00AF61C7"/>
    <w:rsid w:val="00AF6236"/>
    <w:rsid w:val="00AF62F2"/>
    <w:rsid w:val="00AF641C"/>
    <w:rsid w:val="00AF64B1"/>
    <w:rsid w:val="00AF695D"/>
    <w:rsid w:val="00AF6CF5"/>
    <w:rsid w:val="00AF71C9"/>
    <w:rsid w:val="00AF73F1"/>
    <w:rsid w:val="00AF7413"/>
    <w:rsid w:val="00AF7559"/>
    <w:rsid w:val="00AF758E"/>
    <w:rsid w:val="00AF77DE"/>
    <w:rsid w:val="00B001B0"/>
    <w:rsid w:val="00B0067C"/>
    <w:rsid w:val="00B00718"/>
    <w:rsid w:val="00B00757"/>
    <w:rsid w:val="00B009F0"/>
    <w:rsid w:val="00B00C28"/>
    <w:rsid w:val="00B0167D"/>
    <w:rsid w:val="00B01766"/>
    <w:rsid w:val="00B01805"/>
    <w:rsid w:val="00B01859"/>
    <w:rsid w:val="00B01901"/>
    <w:rsid w:val="00B0198F"/>
    <w:rsid w:val="00B02337"/>
    <w:rsid w:val="00B0238A"/>
    <w:rsid w:val="00B02557"/>
    <w:rsid w:val="00B025EB"/>
    <w:rsid w:val="00B02A5D"/>
    <w:rsid w:val="00B02D28"/>
    <w:rsid w:val="00B033D5"/>
    <w:rsid w:val="00B0388F"/>
    <w:rsid w:val="00B03CCF"/>
    <w:rsid w:val="00B044D2"/>
    <w:rsid w:val="00B04633"/>
    <w:rsid w:val="00B0490B"/>
    <w:rsid w:val="00B04B68"/>
    <w:rsid w:val="00B04CA4"/>
    <w:rsid w:val="00B04FEC"/>
    <w:rsid w:val="00B0504D"/>
    <w:rsid w:val="00B053D7"/>
    <w:rsid w:val="00B05792"/>
    <w:rsid w:val="00B05EA2"/>
    <w:rsid w:val="00B05FCF"/>
    <w:rsid w:val="00B060E9"/>
    <w:rsid w:val="00B0685C"/>
    <w:rsid w:val="00B06B68"/>
    <w:rsid w:val="00B06D95"/>
    <w:rsid w:val="00B07151"/>
    <w:rsid w:val="00B07DAF"/>
    <w:rsid w:val="00B10148"/>
    <w:rsid w:val="00B10329"/>
    <w:rsid w:val="00B10669"/>
    <w:rsid w:val="00B10750"/>
    <w:rsid w:val="00B111DA"/>
    <w:rsid w:val="00B11A2E"/>
    <w:rsid w:val="00B11A59"/>
    <w:rsid w:val="00B11B70"/>
    <w:rsid w:val="00B11E92"/>
    <w:rsid w:val="00B121E8"/>
    <w:rsid w:val="00B123F7"/>
    <w:rsid w:val="00B128FF"/>
    <w:rsid w:val="00B12C55"/>
    <w:rsid w:val="00B12F0D"/>
    <w:rsid w:val="00B12FB1"/>
    <w:rsid w:val="00B13073"/>
    <w:rsid w:val="00B13382"/>
    <w:rsid w:val="00B133FF"/>
    <w:rsid w:val="00B135F4"/>
    <w:rsid w:val="00B13857"/>
    <w:rsid w:val="00B13942"/>
    <w:rsid w:val="00B13C95"/>
    <w:rsid w:val="00B13C98"/>
    <w:rsid w:val="00B13F36"/>
    <w:rsid w:val="00B1428A"/>
    <w:rsid w:val="00B147A8"/>
    <w:rsid w:val="00B14996"/>
    <w:rsid w:val="00B14F9E"/>
    <w:rsid w:val="00B150F2"/>
    <w:rsid w:val="00B15299"/>
    <w:rsid w:val="00B153A7"/>
    <w:rsid w:val="00B154C7"/>
    <w:rsid w:val="00B15586"/>
    <w:rsid w:val="00B1560E"/>
    <w:rsid w:val="00B1606C"/>
    <w:rsid w:val="00B16176"/>
    <w:rsid w:val="00B16318"/>
    <w:rsid w:val="00B164C6"/>
    <w:rsid w:val="00B16A14"/>
    <w:rsid w:val="00B16C24"/>
    <w:rsid w:val="00B17289"/>
    <w:rsid w:val="00B17504"/>
    <w:rsid w:val="00B17637"/>
    <w:rsid w:val="00B17D38"/>
    <w:rsid w:val="00B201B8"/>
    <w:rsid w:val="00B209C3"/>
    <w:rsid w:val="00B20BDE"/>
    <w:rsid w:val="00B20F41"/>
    <w:rsid w:val="00B2108B"/>
    <w:rsid w:val="00B2112F"/>
    <w:rsid w:val="00B21916"/>
    <w:rsid w:val="00B21CE3"/>
    <w:rsid w:val="00B21E04"/>
    <w:rsid w:val="00B21EB3"/>
    <w:rsid w:val="00B21EE4"/>
    <w:rsid w:val="00B22133"/>
    <w:rsid w:val="00B22181"/>
    <w:rsid w:val="00B222CF"/>
    <w:rsid w:val="00B2232C"/>
    <w:rsid w:val="00B223A2"/>
    <w:rsid w:val="00B22D93"/>
    <w:rsid w:val="00B232E2"/>
    <w:rsid w:val="00B234F8"/>
    <w:rsid w:val="00B2360B"/>
    <w:rsid w:val="00B239D5"/>
    <w:rsid w:val="00B24002"/>
    <w:rsid w:val="00B240CD"/>
    <w:rsid w:val="00B244B4"/>
    <w:rsid w:val="00B2460A"/>
    <w:rsid w:val="00B246FC"/>
    <w:rsid w:val="00B24974"/>
    <w:rsid w:val="00B24AD5"/>
    <w:rsid w:val="00B24BDE"/>
    <w:rsid w:val="00B24DB6"/>
    <w:rsid w:val="00B25360"/>
    <w:rsid w:val="00B2567C"/>
    <w:rsid w:val="00B25C08"/>
    <w:rsid w:val="00B25E4C"/>
    <w:rsid w:val="00B2610D"/>
    <w:rsid w:val="00B26124"/>
    <w:rsid w:val="00B26132"/>
    <w:rsid w:val="00B26305"/>
    <w:rsid w:val="00B26A5C"/>
    <w:rsid w:val="00B26C9B"/>
    <w:rsid w:val="00B26E32"/>
    <w:rsid w:val="00B272D0"/>
    <w:rsid w:val="00B276D5"/>
    <w:rsid w:val="00B27B6F"/>
    <w:rsid w:val="00B27F91"/>
    <w:rsid w:val="00B3010D"/>
    <w:rsid w:val="00B302BC"/>
    <w:rsid w:val="00B30670"/>
    <w:rsid w:val="00B307AB"/>
    <w:rsid w:val="00B308B2"/>
    <w:rsid w:val="00B30AB2"/>
    <w:rsid w:val="00B30F09"/>
    <w:rsid w:val="00B310D8"/>
    <w:rsid w:val="00B315C1"/>
    <w:rsid w:val="00B31728"/>
    <w:rsid w:val="00B317D9"/>
    <w:rsid w:val="00B31A7B"/>
    <w:rsid w:val="00B31EF5"/>
    <w:rsid w:val="00B3258D"/>
    <w:rsid w:val="00B32617"/>
    <w:rsid w:val="00B328DA"/>
    <w:rsid w:val="00B32B2F"/>
    <w:rsid w:val="00B32BB4"/>
    <w:rsid w:val="00B33691"/>
    <w:rsid w:val="00B33942"/>
    <w:rsid w:val="00B3395C"/>
    <w:rsid w:val="00B33AA9"/>
    <w:rsid w:val="00B33F7E"/>
    <w:rsid w:val="00B347BF"/>
    <w:rsid w:val="00B3480A"/>
    <w:rsid w:val="00B34B10"/>
    <w:rsid w:val="00B34BF4"/>
    <w:rsid w:val="00B35067"/>
    <w:rsid w:val="00B3528B"/>
    <w:rsid w:val="00B35B5C"/>
    <w:rsid w:val="00B35DCD"/>
    <w:rsid w:val="00B360C4"/>
    <w:rsid w:val="00B36137"/>
    <w:rsid w:val="00B36B92"/>
    <w:rsid w:val="00B36CA0"/>
    <w:rsid w:val="00B36EB6"/>
    <w:rsid w:val="00B37120"/>
    <w:rsid w:val="00B37294"/>
    <w:rsid w:val="00B373B9"/>
    <w:rsid w:val="00B37871"/>
    <w:rsid w:val="00B37AC8"/>
    <w:rsid w:val="00B37B2F"/>
    <w:rsid w:val="00B4014C"/>
    <w:rsid w:val="00B401E1"/>
    <w:rsid w:val="00B40517"/>
    <w:rsid w:val="00B40AB3"/>
    <w:rsid w:val="00B40B5F"/>
    <w:rsid w:val="00B40C96"/>
    <w:rsid w:val="00B40E91"/>
    <w:rsid w:val="00B41178"/>
    <w:rsid w:val="00B412F2"/>
    <w:rsid w:val="00B41BE0"/>
    <w:rsid w:val="00B41C2E"/>
    <w:rsid w:val="00B41DC6"/>
    <w:rsid w:val="00B4212E"/>
    <w:rsid w:val="00B4214D"/>
    <w:rsid w:val="00B425F9"/>
    <w:rsid w:val="00B42885"/>
    <w:rsid w:val="00B429B7"/>
    <w:rsid w:val="00B42AC5"/>
    <w:rsid w:val="00B42B28"/>
    <w:rsid w:val="00B42BFA"/>
    <w:rsid w:val="00B42F1E"/>
    <w:rsid w:val="00B42F84"/>
    <w:rsid w:val="00B43A32"/>
    <w:rsid w:val="00B43D53"/>
    <w:rsid w:val="00B4400C"/>
    <w:rsid w:val="00B4406D"/>
    <w:rsid w:val="00B44147"/>
    <w:rsid w:val="00B441D6"/>
    <w:rsid w:val="00B443BD"/>
    <w:rsid w:val="00B4492C"/>
    <w:rsid w:val="00B449C7"/>
    <w:rsid w:val="00B44A53"/>
    <w:rsid w:val="00B44C9C"/>
    <w:rsid w:val="00B44D3B"/>
    <w:rsid w:val="00B455F4"/>
    <w:rsid w:val="00B45606"/>
    <w:rsid w:val="00B45AF3"/>
    <w:rsid w:val="00B45C08"/>
    <w:rsid w:val="00B45C7F"/>
    <w:rsid w:val="00B45F26"/>
    <w:rsid w:val="00B463E1"/>
    <w:rsid w:val="00B46425"/>
    <w:rsid w:val="00B467A7"/>
    <w:rsid w:val="00B46AED"/>
    <w:rsid w:val="00B46F47"/>
    <w:rsid w:val="00B472DF"/>
    <w:rsid w:val="00B47322"/>
    <w:rsid w:val="00B475A2"/>
    <w:rsid w:val="00B477A7"/>
    <w:rsid w:val="00B47989"/>
    <w:rsid w:val="00B47CFA"/>
    <w:rsid w:val="00B47D61"/>
    <w:rsid w:val="00B47F85"/>
    <w:rsid w:val="00B47F8B"/>
    <w:rsid w:val="00B4BA84"/>
    <w:rsid w:val="00B5005E"/>
    <w:rsid w:val="00B50352"/>
    <w:rsid w:val="00B50447"/>
    <w:rsid w:val="00B50FEA"/>
    <w:rsid w:val="00B512CC"/>
    <w:rsid w:val="00B5137C"/>
    <w:rsid w:val="00B51405"/>
    <w:rsid w:val="00B51461"/>
    <w:rsid w:val="00B5155A"/>
    <w:rsid w:val="00B518E8"/>
    <w:rsid w:val="00B51909"/>
    <w:rsid w:val="00B51B6B"/>
    <w:rsid w:val="00B51C17"/>
    <w:rsid w:val="00B51C97"/>
    <w:rsid w:val="00B51CDD"/>
    <w:rsid w:val="00B520D5"/>
    <w:rsid w:val="00B5210E"/>
    <w:rsid w:val="00B5243C"/>
    <w:rsid w:val="00B52A70"/>
    <w:rsid w:val="00B52B0B"/>
    <w:rsid w:val="00B52BD4"/>
    <w:rsid w:val="00B52CF4"/>
    <w:rsid w:val="00B52F6C"/>
    <w:rsid w:val="00B5319D"/>
    <w:rsid w:val="00B537F0"/>
    <w:rsid w:val="00B53895"/>
    <w:rsid w:val="00B539A5"/>
    <w:rsid w:val="00B53A42"/>
    <w:rsid w:val="00B53C1A"/>
    <w:rsid w:val="00B5401F"/>
    <w:rsid w:val="00B5417D"/>
    <w:rsid w:val="00B5421F"/>
    <w:rsid w:val="00B543F3"/>
    <w:rsid w:val="00B54CED"/>
    <w:rsid w:val="00B54E93"/>
    <w:rsid w:val="00B54EBA"/>
    <w:rsid w:val="00B54F6C"/>
    <w:rsid w:val="00B55032"/>
    <w:rsid w:val="00B55168"/>
    <w:rsid w:val="00B5541A"/>
    <w:rsid w:val="00B554F8"/>
    <w:rsid w:val="00B55A47"/>
    <w:rsid w:val="00B55CD0"/>
    <w:rsid w:val="00B55F0A"/>
    <w:rsid w:val="00B55F64"/>
    <w:rsid w:val="00B56448"/>
    <w:rsid w:val="00B565FF"/>
    <w:rsid w:val="00B566CA"/>
    <w:rsid w:val="00B567D2"/>
    <w:rsid w:val="00B569E8"/>
    <w:rsid w:val="00B56A13"/>
    <w:rsid w:val="00B56BFD"/>
    <w:rsid w:val="00B56DED"/>
    <w:rsid w:val="00B570AD"/>
    <w:rsid w:val="00B5725B"/>
    <w:rsid w:val="00B575C3"/>
    <w:rsid w:val="00B57785"/>
    <w:rsid w:val="00B57905"/>
    <w:rsid w:val="00B608F2"/>
    <w:rsid w:val="00B610EC"/>
    <w:rsid w:val="00B6118C"/>
    <w:rsid w:val="00B6166B"/>
    <w:rsid w:val="00B61910"/>
    <w:rsid w:val="00B61968"/>
    <w:rsid w:val="00B619C5"/>
    <w:rsid w:val="00B61B9B"/>
    <w:rsid w:val="00B61D0A"/>
    <w:rsid w:val="00B61EB7"/>
    <w:rsid w:val="00B6244C"/>
    <w:rsid w:val="00B62B37"/>
    <w:rsid w:val="00B62EDE"/>
    <w:rsid w:val="00B62F52"/>
    <w:rsid w:val="00B6311E"/>
    <w:rsid w:val="00B63160"/>
    <w:rsid w:val="00B63266"/>
    <w:rsid w:val="00B63280"/>
    <w:rsid w:val="00B6336A"/>
    <w:rsid w:val="00B633B4"/>
    <w:rsid w:val="00B63550"/>
    <w:rsid w:val="00B63B00"/>
    <w:rsid w:val="00B640BC"/>
    <w:rsid w:val="00B6412D"/>
    <w:rsid w:val="00B642C3"/>
    <w:rsid w:val="00B64534"/>
    <w:rsid w:val="00B64599"/>
    <w:rsid w:val="00B646FE"/>
    <w:rsid w:val="00B64A4D"/>
    <w:rsid w:val="00B64BAD"/>
    <w:rsid w:val="00B657B2"/>
    <w:rsid w:val="00B65934"/>
    <w:rsid w:val="00B659CD"/>
    <w:rsid w:val="00B65A07"/>
    <w:rsid w:val="00B65A0E"/>
    <w:rsid w:val="00B66346"/>
    <w:rsid w:val="00B6643D"/>
    <w:rsid w:val="00B66CF3"/>
    <w:rsid w:val="00B66EB7"/>
    <w:rsid w:val="00B66FCF"/>
    <w:rsid w:val="00B67027"/>
    <w:rsid w:val="00B67088"/>
    <w:rsid w:val="00B6740A"/>
    <w:rsid w:val="00B674C0"/>
    <w:rsid w:val="00B67784"/>
    <w:rsid w:val="00B700B7"/>
    <w:rsid w:val="00B704A0"/>
    <w:rsid w:val="00B70622"/>
    <w:rsid w:val="00B70AE5"/>
    <w:rsid w:val="00B70DE6"/>
    <w:rsid w:val="00B710E3"/>
    <w:rsid w:val="00B714EC"/>
    <w:rsid w:val="00B7169A"/>
    <w:rsid w:val="00B71993"/>
    <w:rsid w:val="00B71AFC"/>
    <w:rsid w:val="00B71FEF"/>
    <w:rsid w:val="00B721DD"/>
    <w:rsid w:val="00B724B7"/>
    <w:rsid w:val="00B72A09"/>
    <w:rsid w:val="00B72F8E"/>
    <w:rsid w:val="00B7312C"/>
    <w:rsid w:val="00B7313F"/>
    <w:rsid w:val="00B738ED"/>
    <w:rsid w:val="00B73C1F"/>
    <w:rsid w:val="00B73D98"/>
    <w:rsid w:val="00B73E9F"/>
    <w:rsid w:val="00B73EC9"/>
    <w:rsid w:val="00B7419E"/>
    <w:rsid w:val="00B743E0"/>
    <w:rsid w:val="00B743EF"/>
    <w:rsid w:val="00B74517"/>
    <w:rsid w:val="00B7458D"/>
    <w:rsid w:val="00B7483A"/>
    <w:rsid w:val="00B75203"/>
    <w:rsid w:val="00B753C7"/>
    <w:rsid w:val="00B755D5"/>
    <w:rsid w:val="00B75A70"/>
    <w:rsid w:val="00B75EB0"/>
    <w:rsid w:val="00B76345"/>
    <w:rsid w:val="00B76445"/>
    <w:rsid w:val="00B76707"/>
    <w:rsid w:val="00B76A31"/>
    <w:rsid w:val="00B76C69"/>
    <w:rsid w:val="00B7736F"/>
    <w:rsid w:val="00B773CF"/>
    <w:rsid w:val="00B8000C"/>
    <w:rsid w:val="00B802A1"/>
    <w:rsid w:val="00B804D1"/>
    <w:rsid w:val="00B8092A"/>
    <w:rsid w:val="00B80CF0"/>
    <w:rsid w:val="00B80F04"/>
    <w:rsid w:val="00B8100E"/>
    <w:rsid w:val="00B8109A"/>
    <w:rsid w:val="00B8123C"/>
    <w:rsid w:val="00B81377"/>
    <w:rsid w:val="00B8171B"/>
    <w:rsid w:val="00B81973"/>
    <w:rsid w:val="00B81ACC"/>
    <w:rsid w:val="00B81C5A"/>
    <w:rsid w:val="00B820BC"/>
    <w:rsid w:val="00B8229C"/>
    <w:rsid w:val="00B82567"/>
    <w:rsid w:val="00B8282D"/>
    <w:rsid w:val="00B82ACA"/>
    <w:rsid w:val="00B8332D"/>
    <w:rsid w:val="00B83573"/>
    <w:rsid w:val="00B83747"/>
    <w:rsid w:val="00B83C87"/>
    <w:rsid w:val="00B83D50"/>
    <w:rsid w:val="00B8405F"/>
    <w:rsid w:val="00B84431"/>
    <w:rsid w:val="00B84540"/>
    <w:rsid w:val="00B84A22"/>
    <w:rsid w:val="00B84C6A"/>
    <w:rsid w:val="00B8509F"/>
    <w:rsid w:val="00B852A7"/>
    <w:rsid w:val="00B85504"/>
    <w:rsid w:val="00B85562"/>
    <w:rsid w:val="00B855C0"/>
    <w:rsid w:val="00B85743"/>
    <w:rsid w:val="00B8575F"/>
    <w:rsid w:val="00B85969"/>
    <w:rsid w:val="00B85F9C"/>
    <w:rsid w:val="00B86664"/>
    <w:rsid w:val="00B866AC"/>
    <w:rsid w:val="00B86DFA"/>
    <w:rsid w:val="00B870E2"/>
    <w:rsid w:val="00B8756F"/>
    <w:rsid w:val="00B87584"/>
    <w:rsid w:val="00B8772D"/>
    <w:rsid w:val="00B87788"/>
    <w:rsid w:val="00B879DF"/>
    <w:rsid w:val="00B87F54"/>
    <w:rsid w:val="00B900EE"/>
    <w:rsid w:val="00B9021E"/>
    <w:rsid w:val="00B90369"/>
    <w:rsid w:val="00B9090E"/>
    <w:rsid w:val="00B90FA4"/>
    <w:rsid w:val="00B91255"/>
    <w:rsid w:val="00B912D6"/>
    <w:rsid w:val="00B91613"/>
    <w:rsid w:val="00B916D1"/>
    <w:rsid w:val="00B9195C"/>
    <w:rsid w:val="00B91A01"/>
    <w:rsid w:val="00B91C3E"/>
    <w:rsid w:val="00B91D15"/>
    <w:rsid w:val="00B921B2"/>
    <w:rsid w:val="00B92471"/>
    <w:rsid w:val="00B92890"/>
    <w:rsid w:val="00B9298F"/>
    <w:rsid w:val="00B92AF8"/>
    <w:rsid w:val="00B930B9"/>
    <w:rsid w:val="00B93C90"/>
    <w:rsid w:val="00B94442"/>
    <w:rsid w:val="00B94574"/>
    <w:rsid w:val="00B946B5"/>
    <w:rsid w:val="00B949A2"/>
    <w:rsid w:val="00B949B5"/>
    <w:rsid w:val="00B94FCB"/>
    <w:rsid w:val="00B950E8"/>
    <w:rsid w:val="00B95216"/>
    <w:rsid w:val="00B95359"/>
    <w:rsid w:val="00B9543B"/>
    <w:rsid w:val="00B95801"/>
    <w:rsid w:val="00B95848"/>
    <w:rsid w:val="00B959D3"/>
    <w:rsid w:val="00B961DE"/>
    <w:rsid w:val="00B9639F"/>
    <w:rsid w:val="00B963F6"/>
    <w:rsid w:val="00B96699"/>
    <w:rsid w:val="00B969FE"/>
    <w:rsid w:val="00B96BF4"/>
    <w:rsid w:val="00B9701E"/>
    <w:rsid w:val="00B973A2"/>
    <w:rsid w:val="00B97BD7"/>
    <w:rsid w:val="00BA0A1B"/>
    <w:rsid w:val="00BA0BD5"/>
    <w:rsid w:val="00BA0C0F"/>
    <w:rsid w:val="00BA111E"/>
    <w:rsid w:val="00BA174B"/>
    <w:rsid w:val="00BA1766"/>
    <w:rsid w:val="00BA1924"/>
    <w:rsid w:val="00BA1F71"/>
    <w:rsid w:val="00BA1FDE"/>
    <w:rsid w:val="00BA1FFF"/>
    <w:rsid w:val="00BA20E8"/>
    <w:rsid w:val="00BA2201"/>
    <w:rsid w:val="00BA248A"/>
    <w:rsid w:val="00BA28F4"/>
    <w:rsid w:val="00BA2B11"/>
    <w:rsid w:val="00BA2D68"/>
    <w:rsid w:val="00BA3089"/>
    <w:rsid w:val="00BA349F"/>
    <w:rsid w:val="00BA350A"/>
    <w:rsid w:val="00BA3685"/>
    <w:rsid w:val="00BA39D9"/>
    <w:rsid w:val="00BA3C78"/>
    <w:rsid w:val="00BA3E13"/>
    <w:rsid w:val="00BA3FA8"/>
    <w:rsid w:val="00BA41B1"/>
    <w:rsid w:val="00BA4A1B"/>
    <w:rsid w:val="00BA4AA2"/>
    <w:rsid w:val="00BA4D00"/>
    <w:rsid w:val="00BA4FA2"/>
    <w:rsid w:val="00BA5279"/>
    <w:rsid w:val="00BA530D"/>
    <w:rsid w:val="00BA53B7"/>
    <w:rsid w:val="00BA55F8"/>
    <w:rsid w:val="00BA577D"/>
    <w:rsid w:val="00BA5CCD"/>
    <w:rsid w:val="00BA5D29"/>
    <w:rsid w:val="00BA620E"/>
    <w:rsid w:val="00BA62C7"/>
    <w:rsid w:val="00BA69C1"/>
    <w:rsid w:val="00BA69EA"/>
    <w:rsid w:val="00BA6A4C"/>
    <w:rsid w:val="00BA6AC2"/>
    <w:rsid w:val="00BA7278"/>
    <w:rsid w:val="00BA73C3"/>
    <w:rsid w:val="00BA75A2"/>
    <w:rsid w:val="00BA7CFE"/>
    <w:rsid w:val="00BA7EC1"/>
    <w:rsid w:val="00BB019E"/>
    <w:rsid w:val="00BB0587"/>
    <w:rsid w:val="00BB081D"/>
    <w:rsid w:val="00BB0B52"/>
    <w:rsid w:val="00BB1555"/>
    <w:rsid w:val="00BB19A2"/>
    <w:rsid w:val="00BB1D7A"/>
    <w:rsid w:val="00BB2048"/>
    <w:rsid w:val="00BB22B5"/>
    <w:rsid w:val="00BB22E8"/>
    <w:rsid w:val="00BB251C"/>
    <w:rsid w:val="00BB2726"/>
    <w:rsid w:val="00BB290E"/>
    <w:rsid w:val="00BB2CEF"/>
    <w:rsid w:val="00BB32EF"/>
    <w:rsid w:val="00BB3674"/>
    <w:rsid w:val="00BB36CA"/>
    <w:rsid w:val="00BB3ACF"/>
    <w:rsid w:val="00BB3F80"/>
    <w:rsid w:val="00BB3FC5"/>
    <w:rsid w:val="00BB4074"/>
    <w:rsid w:val="00BB4483"/>
    <w:rsid w:val="00BB4507"/>
    <w:rsid w:val="00BB457B"/>
    <w:rsid w:val="00BB4A66"/>
    <w:rsid w:val="00BB5040"/>
    <w:rsid w:val="00BB516E"/>
    <w:rsid w:val="00BB526D"/>
    <w:rsid w:val="00BB5AC4"/>
    <w:rsid w:val="00BB5B4A"/>
    <w:rsid w:val="00BB5DB6"/>
    <w:rsid w:val="00BB6337"/>
    <w:rsid w:val="00BB668D"/>
    <w:rsid w:val="00BB6971"/>
    <w:rsid w:val="00BB6C8C"/>
    <w:rsid w:val="00BB6DE2"/>
    <w:rsid w:val="00BB6F9F"/>
    <w:rsid w:val="00BB72EF"/>
    <w:rsid w:val="00BB73E0"/>
    <w:rsid w:val="00BB7562"/>
    <w:rsid w:val="00BB767D"/>
    <w:rsid w:val="00BB78EF"/>
    <w:rsid w:val="00BB7C89"/>
    <w:rsid w:val="00BB7C9F"/>
    <w:rsid w:val="00BC0021"/>
    <w:rsid w:val="00BC02B7"/>
    <w:rsid w:val="00BC04CF"/>
    <w:rsid w:val="00BC07F0"/>
    <w:rsid w:val="00BC0AA1"/>
    <w:rsid w:val="00BC0BA9"/>
    <w:rsid w:val="00BC0E25"/>
    <w:rsid w:val="00BC0F8A"/>
    <w:rsid w:val="00BC12BB"/>
    <w:rsid w:val="00BC1577"/>
    <w:rsid w:val="00BC16C1"/>
    <w:rsid w:val="00BC17D0"/>
    <w:rsid w:val="00BC18D2"/>
    <w:rsid w:val="00BC1904"/>
    <w:rsid w:val="00BC1BC6"/>
    <w:rsid w:val="00BC1C17"/>
    <w:rsid w:val="00BC1CCD"/>
    <w:rsid w:val="00BC1E2E"/>
    <w:rsid w:val="00BC1EE6"/>
    <w:rsid w:val="00BC1FBA"/>
    <w:rsid w:val="00BC2468"/>
    <w:rsid w:val="00BC2570"/>
    <w:rsid w:val="00BC2A00"/>
    <w:rsid w:val="00BC2A01"/>
    <w:rsid w:val="00BC2B59"/>
    <w:rsid w:val="00BC2D21"/>
    <w:rsid w:val="00BC33FA"/>
    <w:rsid w:val="00BC3B2C"/>
    <w:rsid w:val="00BC3B50"/>
    <w:rsid w:val="00BC3D50"/>
    <w:rsid w:val="00BC41DB"/>
    <w:rsid w:val="00BC43D2"/>
    <w:rsid w:val="00BC4876"/>
    <w:rsid w:val="00BC4B0C"/>
    <w:rsid w:val="00BC4F87"/>
    <w:rsid w:val="00BC5012"/>
    <w:rsid w:val="00BC518D"/>
    <w:rsid w:val="00BC5E2B"/>
    <w:rsid w:val="00BC60C2"/>
    <w:rsid w:val="00BC60DC"/>
    <w:rsid w:val="00BC6501"/>
    <w:rsid w:val="00BC7037"/>
    <w:rsid w:val="00BC70CF"/>
    <w:rsid w:val="00BC7440"/>
    <w:rsid w:val="00BC76DE"/>
    <w:rsid w:val="00BC77A7"/>
    <w:rsid w:val="00BC7AB1"/>
    <w:rsid w:val="00BC7BA9"/>
    <w:rsid w:val="00BD0092"/>
    <w:rsid w:val="00BD046C"/>
    <w:rsid w:val="00BD085F"/>
    <w:rsid w:val="00BD0CE4"/>
    <w:rsid w:val="00BD1316"/>
    <w:rsid w:val="00BD150A"/>
    <w:rsid w:val="00BD187B"/>
    <w:rsid w:val="00BD2329"/>
    <w:rsid w:val="00BD2521"/>
    <w:rsid w:val="00BD281C"/>
    <w:rsid w:val="00BD29A5"/>
    <w:rsid w:val="00BD2B8A"/>
    <w:rsid w:val="00BD2C95"/>
    <w:rsid w:val="00BD2D52"/>
    <w:rsid w:val="00BD30C2"/>
    <w:rsid w:val="00BD3580"/>
    <w:rsid w:val="00BD3A2E"/>
    <w:rsid w:val="00BD3A7B"/>
    <w:rsid w:val="00BD3B02"/>
    <w:rsid w:val="00BD3CAB"/>
    <w:rsid w:val="00BD3D29"/>
    <w:rsid w:val="00BD428E"/>
    <w:rsid w:val="00BD47D7"/>
    <w:rsid w:val="00BD48B5"/>
    <w:rsid w:val="00BD5157"/>
    <w:rsid w:val="00BD539C"/>
    <w:rsid w:val="00BD53BB"/>
    <w:rsid w:val="00BD570D"/>
    <w:rsid w:val="00BD59C0"/>
    <w:rsid w:val="00BD5DB3"/>
    <w:rsid w:val="00BD607B"/>
    <w:rsid w:val="00BD6563"/>
    <w:rsid w:val="00BD65B9"/>
    <w:rsid w:val="00BD6779"/>
    <w:rsid w:val="00BD6A9A"/>
    <w:rsid w:val="00BD6B52"/>
    <w:rsid w:val="00BD70AE"/>
    <w:rsid w:val="00BD7877"/>
    <w:rsid w:val="00BE007F"/>
    <w:rsid w:val="00BE055C"/>
    <w:rsid w:val="00BE0AFD"/>
    <w:rsid w:val="00BE0B01"/>
    <w:rsid w:val="00BE11CE"/>
    <w:rsid w:val="00BE1270"/>
    <w:rsid w:val="00BE127D"/>
    <w:rsid w:val="00BE1654"/>
    <w:rsid w:val="00BE1AB4"/>
    <w:rsid w:val="00BE26DE"/>
    <w:rsid w:val="00BE2EFC"/>
    <w:rsid w:val="00BE3030"/>
    <w:rsid w:val="00BE32F0"/>
    <w:rsid w:val="00BE3389"/>
    <w:rsid w:val="00BE365F"/>
    <w:rsid w:val="00BE391D"/>
    <w:rsid w:val="00BE3BA0"/>
    <w:rsid w:val="00BE3C75"/>
    <w:rsid w:val="00BE3CBE"/>
    <w:rsid w:val="00BE3D08"/>
    <w:rsid w:val="00BE3E7D"/>
    <w:rsid w:val="00BE3F63"/>
    <w:rsid w:val="00BE44C4"/>
    <w:rsid w:val="00BE4633"/>
    <w:rsid w:val="00BE4652"/>
    <w:rsid w:val="00BE509B"/>
    <w:rsid w:val="00BE5B37"/>
    <w:rsid w:val="00BE631E"/>
    <w:rsid w:val="00BE6423"/>
    <w:rsid w:val="00BE64D5"/>
    <w:rsid w:val="00BE6809"/>
    <w:rsid w:val="00BE6CFD"/>
    <w:rsid w:val="00BE7509"/>
    <w:rsid w:val="00BE7D94"/>
    <w:rsid w:val="00BF0003"/>
    <w:rsid w:val="00BF05F7"/>
    <w:rsid w:val="00BF0797"/>
    <w:rsid w:val="00BF090D"/>
    <w:rsid w:val="00BF0A85"/>
    <w:rsid w:val="00BF0E13"/>
    <w:rsid w:val="00BF0FAA"/>
    <w:rsid w:val="00BF10A0"/>
    <w:rsid w:val="00BF13B8"/>
    <w:rsid w:val="00BF1813"/>
    <w:rsid w:val="00BF1B78"/>
    <w:rsid w:val="00BF1E88"/>
    <w:rsid w:val="00BF1F13"/>
    <w:rsid w:val="00BF1FBB"/>
    <w:rsid w:val="00BF1FDF"/>
    <w:rsid w:val="00BF2095"/>
    <w:rsid w:val="00BF20BF"/>
    <w:rsid w:val="00BF2629"/>
    <w:rsid w:val="00BF27BB"/>
    <w:rsid w:val="00BF2A36"/>
    <w:rsid w:val="00BF2BC9"/>
    <w:rsid w:val="00BF2FF8"/>
    <w:rsid w:val="00BF315C"/>
    <w:rsid w:val="00BF38D2"/>
    <w:rsid w:val="00BF3995"/>
    <w:rsid w:val="00BF3C3A"/>
    <w:rsid w:val="00BF3D95"/>
    <w:rsid w:val="00BF4042"/>
    <w:rsid w:val="00BF427A"/>
    <w:rsid w:val="00BF44B1"/>
    <w:rsid w:val="00BF4ADE"/>
    <w:rsid w:val="00BF4DEF"/>
    <w:rsid w:val="00BF511D"/>
    <w:rsid w:val="00BF51B7"/>
    <w:rsid w:val="00BF565A"/>
    <w:rsid w:val="00BF580E"/>
    <w:rsid w:val="00BF5E07"/>
    <w:rsid w:val="00BF5ECD"/>
    <w:rsid w:val="00BF5EE6"/>
    <w:rsid w:val="00BF61D9"/>
    <w:rsid w:val="00BF6216"/>
    <w:rsid w:val="00BF660E"/>
    <w:rsid w:val="00BF6B3A"/>
    <w:rsid w:val="00BF6D50"/>
    <w:rsid w:val="00BF7030"/>
    <w:rsid w:val="00BF7132"/>
    <w:rsid w:val="00BF741E"/>
    <w:rsid w:val="00BF777B"/>
    <w:rsid w:val="00BF7842"/>
    <w:rsid w:val="00BF7A2C"/>
    <w:rsid w:val="00BF7EB8"/>
    <w:rsid w:val="00BFBC39"/>
    <w:rsid w:val="00C00861"/>
    <w:rsid w:val="00C00A06"/>
    <w:rsid w:val="00C00ADC"/>
    <w:rsid w:val="00C00B71"/>
    <w:rsid w:val="00C00EE7"/>
    <w:rsid w:val="00C01052"/>
    <w:rsid w:val="00C01383"/>
    <w:rsid w:val="00C013BD"/>
    <w:rsid w:val="00C01686"/>
    <w:rsid w:val="00C01875"/>
    <w:rsid w:val="00C0187E"/>
    <w:rsid w:val="00C01CED"/>
    <w:rsid w:val="00C022B4"/>
    <w:rsid w:val="00C025BC"/>
    <w:rsid w:val="00C027C2"/>
    <w:rsid w:val="00C02F6C"/>
    <w:rsid w:val="00C03454"/>
    <w:rsid w:val="00C03B50"/>
    <w:rsid w:val="00C03C42"/>
    <w:rsid w:val="00C047F2"/>
    <w:rsid w:val="00C04BA7"/>
    <w:rsid w:val="00C04C0D"/>
    <w:rsid w:val="00C05882"/>
    <w:rsid w:val="00C05A8B"/>
    <w:rsid w:val="00C05B4B"/>
    <w:rsid w:val="00C05BB8"/>
    <w:rsid w:val="00C05E76"/>
    <w:rsid w:val="00C05EF7"/>
    <w:rsid w:val="00C062FC"/>
    <w:rsid w:val="00C06726"/>
    <w:rsid w:val="00C06797"/>
    <w:rsid w:val="00C06A37"/>
    <w:rsid w:val="00C07093"/>
    <w:rsid w:val="00C07222"/>
    <w:rsid w:val="00C0734C"/>
    <w:rsid w:val="00C07360"/>
    <w:rsid w:val="00C076DC"/>
    <w:rsid w:val="00C07CF2"/>
    <w:rsid w:val="00C07E42"/>
    <w:rsid w:val="00C1035C"/>
    <w:rsid w:val="00C1056D"/>
    <w:rsid w:val="00C10585"/>
    <w:rsid w:val="00C106D5"/>
    <w:rsid w:val="00C10796"/>
    <w:rsid w:val="00C1103F"/>
    <w:rsid w:val="00C1118C"/>
    <w:rsid w:val="00C11A48"/>
    <w:rsid w:val="00C11B94"/>
    <w:rsid w:val="00C11DFB"/>
    <w:rsid w:val="00C1260D"/>
    <w:rsid w:val="00C12626"/>
    <w:rsid w:val="00C12655"/>
    <w:rsid w:val="00C12A1D"/>
    <w:rsid w:val="00C12C68"/>
    <w:rsid w:val="00C12D6E"/>
    <w:rsid w:val="00C13093"/>
    <w:rsid w:val="00C13348"/>
    <w:rsid w:val="00C147F5"/>
    <w:rsid w:val="00C149AB"/>
    <w:rsid w:val="00C14C71"/>
    <w:rsid w:val="00C14D29"/>
    <w:rsid w:val="00C14E6D"/>
    <w:rsid w:val="00C1516F"/>
    <w:rsid w:val="00C1563D"/>
    <w:rsid w:val="00C1581B"/>
    <w:rsid w:val="00C159E4"/>
    <w:rsid w:val="00C159E6"/>
    <w:rsid w:val="00C15A23"/>
    <w:rsid w:val="00C15EC6"/>
    <w:rsid w:val="00C15FA9"/>
    <w:rsid w:val="00C161FA"/>
    <w:rsid w:val="00C1648C"/>
    <w:rsid w:val="00C164AB"/>
    <w:rsid w:val="00C164BA"/>
    <w:rsid w:val="00C1650E"/>
    <w:rsid w:val="00C16E4D"/>
    <w:rsid w:val="00C17065"/>
    <w:rsid w:val="00C171F0"/>
    <w:rsid w:val="00C175A1"/>
    <w:rsid w:val="00C178B5"/>
    <w:rsid w:val="00C17BB0"/>
    <w:rsid w:val="00C20142"/>
    <w:rsid w:val="00C20683"/>
    <w:rsid w:val="00C20C0B"/>
    <w:rsid w:val="00C20E41"/>
    <w:rsid w:val="00C210AA"/>
    <w:rsid w:val="00C211F9"/>
    <w:rsid w:val="00C214AE"/>
    <w:rsid w:val="00C21898"/>
    <w:rsid w:val="00C21C68"/>
    <w:rsid w:val="00C21FA9"/>
    <w:rsid w:val="00C221B3"/>
    <w:rsid w:val="00C221D1"/>
    <w:rsid w:val="00C2220E"/>
    <w:rsid w:val="00C22618"/>
    <w:rsid w:val="00C227F5"/>
    <w:rsid w:val="00C22983"/>
    <w:rsid w:val="00C22B49"/>
    <w:rsid w:val="00C22EF3"/>
    <w:rsid w:val="00C22F19"/>
    <w:rsid w:val="00C22FD2"/>
    <w:rsid w:val="00C2306A"/>
    <w:rsid w:val="00C23854"/>
    <w:rsid w:val="00C23974"/>
    <w:rsid w:val="00C23A23"/>
    <w:rsid w:val="00C23B06"/>
    <w:rsid w:val="00C23C34"/>
    <w:rsid w:val="00C24A9B"/>
    <w:rsid w:val="00C24AD9"/>
    <w:rsid w:val="00C24AE9"/>
    <w:rsid w:val="00C24D3B"/>
    <w:rsid w:val="00C24FC5"/>
    <w:rsid w:val="00C25594"/>
    <w:rsid w:val="00C25C4F"/>
    <w:rsid w:val="00C25D56"/>
    <w:rsid w:val="00C26027"/>
    <w:rsid w:val="00C26069"/>
    <w:rsid w:val="00C26117"/>
    <w:rsid w:val="00C26346"/>
    <w:rsid w:val="00C267FA"/>
    <w:rsid w:val="00C26920"/>
    <w:rsid w:val="00C26AEA"/>
    <w:rsid w:val="00C26F72"/>
    <w:rsid w:val="00C27020"/>
    <w:rsid w:val="00C270AF"/>
    <w:rsid w:val="00C270D9"/>
    <w:rsid w:val="00C271BF"/>
    <w:rsid w:val="00C272B0"/>
    <w:rsid w:val="00C27355"/>
    <w:rsid w:val="00C2752F"/>
    <w:rsid w:val="00C2785C"/>
    <w:rsid w:val="00C27C54"/>
    <w:rsid w:val="00C27FB2"/>
    <w:rsid w:val="00C300EF"/>
    <w:rsid w:val="00C3090E"/>
    <w:rsid w:val="00C30C01"/>
    <w:rsid w:val="00C31032"/>
    <w:rsid w:val="00C31E60"/>
    <w:rsid w:val="00C31E77"/>
    <w:rsid w:val="00C3262C"/>
    <w:rsid w:val="00C326CE"/>
    <w:rsid w:val="00C33048"/>
    <w:rsid w:val="00C332EF"/>
    <w:rsid w:val="00C33750"/>
    <w:rsid w:val="00C33943"/>
    <w:rsid w:val="00C33C13"/>
    <w:rsid w:val="00C33C83"/>
    <w:rsid w:val="00C33CBB"/>
    <w:rsid w:val="00C33CCE"/>
    <w:rsid w:val="00C33CDF"/>
    <w:rsid w:val="00C33DEA"/>
    <w:rsid w:val="00C340AF"/>
    <w:rsid w:val="00C340C1"/>
    <w:rsid w:val="00C341A6"/>
    <w:rsid w:val="00C34B70"/>
    <w:rsid w:val="00C34C42"/>
    <w:rsid w:val="00C34FA2"/>
    <w:rsid w:val="00C3548B"/>
    <w:rsid w:val="00C354EB"/>
    <w:rsid w:val="00C35537"/>
    <w:rsid w:val="00C35753"/>
    <w:rsid w:val="00C35CAA"/>
    <w:rsid w:val="00C363BC"/>
    <w:rsid w:val="00C363DB"/>
    <w:rsid w:val="00C36594"/>
    <w:rsid w:val="00C3673A"/>
    <w:rsid w:val="00C368E8"/>
    <w:rsid w:val="00C36B04"/>
    <w:rsid w:val="00C36B60"/>
    <w:rsid w:val="00C37EB9"/>
    <w:rsid w:val="00C40190"/>
    <w:rsid w:val="00C403D3"/>
    <w:rsid w:val="00C40448"/>
    <w:rsid w:val="00C405C4"/>
    <w:rsid w:val="00C4063E"/>
    <w:rsid w:val="00C406D4"/>
    <w:rsid w:val="00C40704"/>
    <w:rsid w:val="00C40791"/>
    <w:rsid w:val="00C40C7C"/>
    <w:rsid w:val="00C40FBA"/>
    <w:rsid w:val="00C411BF"/>
    <w:rsid w:val="00C413D4"/>
    <w:rsid w:val="00C416DE"/>
    <w:rsid w:val="00C417FE"/>
    <w:rsid w:val="00C419E5"/>
    <w:rsid w:val="00C41B7B"/>
    <w:rsid w:val="00C41EFF"/>
    <w:rsid w:val="00C42017"/>
    <w:rsid w:val="00C422E5"/>
    <w:rsid w:val="00C42306"/>
    <w:rsid w:val="00C423C1"/>
    <w:rsid w:val="00C42996"/>
    <w:rsid w:val="00C42D24"/>
    <w:rsid w:val="00C42D80"/>
    <w:rsid w:val="00C42D84"/>
    <w:rsid w:val="00C42FAC"/>
    <w:rsid w:val="00C4365F"/>
    <w:rsid w:val="00C438DB"/>
    <w:rsid w:val="00C43A34"/>
    <w:rsid w:val="00C43FD5"/>
    <w:rsid w:val="00C43FDE"/>
    <w:rsid w:val="00C44084"/>
    <w:rsid w:val="00C44135"/>
    <w:rsid w:val="00C44382"/>
    <w:rsid w:val="00C44388"/>
    <w:rsid w:val="00C44774"/>
    <w:rsid w:val="00C44C23"/>
    <w:rsid w:val="00C45040"/>
    <w:rsid w:val="00C450AF"/>
    <w:rsid w:val="00C45190"/>
    <w:rsid w:val="00C451A4"/>
    <w:rsid w:val="00C451A6"/>
    <w:rsid w:val="00C45353"/>
    <w:rsid w:val="00C4575E"/>
    <w:rsid w:val="00C45946"/>
    <w:rsid w:val="00C459DE"/>
    <w:rsid w:val="00C45CA1"/>
    <w:rsid w:val="00C45E7D"/>
    <w:rsid w:val="00C4624B"/>
    <w:rsid w:val="00C46B81"/>
    <w:rsid w:val="00C46D32"/>
    <w:rsid w:val="00C46D41"/>
    <w:rsid w:val="00C46E5C"/>
    <w:rsid w:val="00C46EDA"/>
    <w:rsid w:val="00C46EE9"/>
    <w:rsid w:val="00C46F83"/>
    <w:rsid w:val="00C470C2"/>
    <w:rsid w:val="00C47109"/>
    <w:rsid w:val="00C47351"/>
    <w:rsid w:val="00C47507"/>
    <w:rsid w:val="00C476C8"/>
    <w:rsid w:val="00C47984"/>
    <w:rsid w:val="00C47F35"/>
    <w:rsid w:val="00C5005A"/>
    <w:rsid w:val="00C501C6"/>
    <w:rsid w:val="00C50257"/>
    <w:rsid w:val="00C503E1"/>
    <w:rsid w:val="00C50803"/>
    <w:rsid w:val="00C50944"/>
    <w:rsid w:val="00C511D7"/>
    <w:rsid w:val="00C5120D"/>
    <w:rsid w:val="00C51440"/>
    <w:rsid w:val="00C51893"/>
    <w:rsid w:val="00C5192E"/>
    <w:rsid w:val="00C51D0B"/>
    <w:rsid w:val="00C51E4F"/>
    <w:rsid w:val="00C52A54"/>
    <w:rsid w:val="00C52C09"/>
    <w:rsid w:val="00C533BD"/>
    <w:rsid w:val="00C533C2"/>
    <w:rsid w:val="00C5346F"/>
    <w:rsid w:val="00C5348C"/>
    <w:rsid w:val="00C53705"/>
    <w:rsid w:val="00C541BA"/>
    <w:rsid w:val="00C5429B"/>
    <w:rsid w:val="00C545BD"/>
    <w:rsid w:val="00C545CA"/>
    <w:rsid w:val="00C54797"/>
    <w:rsid w:val="00C5489B"/>
    <w:rsid w:val="00C55244"/>
    <w:rsid w:val="00C55264"/>
    <w:rsid w:val="00C559DC"/>
    <w:rsid w:val="00C56052"/>
    <w:rsid w:val="00C56337"/>
    <w:rsid w:val="00C56800"/>
    <w:rsid w:val="00C568B1"/>
    <w:rsid w:val="00C56915"/>
    <w:rsid w:val="00C56BEF"/>
    <w:rsid w:val="00C56E66"/>
    <w:rsid w:val="00C57082"/>
    <w:rsid w:val="00C57319"/>
    <w:rsid w:val="00C57335"/>
    <w:rsid w:val="00C573F8"/>
    <w:rsid w:val="00C578EC"/>
    <w:rsid w:val="00C57987"/>
    <w:rsid w:val="00C57A0D"/>
    <w:rsid w:val="00C57CA6"/>
    <w:rsid w:val="00C57D1C"/>
    <w:rsid w:val="00C57FAE"/>
    <w:rsid w:val="00C6000B"/>
    <w:rsid w:val="00C602FF"/>
    <w:rsid w:val="00C60438"/>
    <w:rsid w:val="00C60638"/>
    <w:rsid w:val="00C60654"/>
    <w:rsid w:val="00C60B2B"/>
    <w:rsid w:val="00C61301"/>
    <w:rsid w:val="00C616E0"/>
    <w:rsid w:val="00C618A3"/>
    <w:rsid w:val="00C61902"/>
    <w:rsid w:val="00C62AE0"/>
    <w:rsid w:val="00C62D2E"/>
    <w:rsid w:val="00C63207"/>
    <w:rsid w:val="00C632C1"/>
    <w:rsid w:val="00C63559"/>
    <w:rsid w:val="00C6377B"/>
    <w:rsid w:val="00C637C1"/>
    <w:rsid w:val="00C63AEB"/>
    <w:rsid w:val="00C63B38"/>
    <w:rsid w:val="00C63EAF"/>
    <w:rsid w:val="00C640FF"/>
    <w:rsid w:val="00C6429C"/>
    <w:rsid w:val="00C64489"/>
    <w:rsid w:val="00C646E2"/>
    <w:rsid w:val="00C64813"/>
    <w:rsid w:val="00C6481E"/>
    <w:rsid w:val="00C64DAF"/>
    <w:rsid w:val="00C65201"/>
    <w:rsid w:val="00C65697"/>
    <w:rsid w:val="00C65BDE"/>
    <w:rsid w:val="00C6609A"/>
    <w:rsid w:val="00C664C3"/>
    <w:rsid w:val="00C66664"/>
    <w:rsid w:val="00C66851"/>
    <w:rsid w:val="00C66A4C"/>
    <w:rsid w:val="00C6702D"/>
    <w:rsid w:val="00C67481"/>
    <w:rsid w:val="00C67521"/>
    <w:rsid w:val="00C67B61"/>
    <w:rsid w:val="00C67FE8"/>
    <w:rsid w:val="00C702D0"/>
    <w:rsid w:val="00C70407"/>
    <w:rsid w:val="00C70559"/>
    <w:rsid w:val="00C707B9"/>
    <w:rsid w:val="00C70925"/>
    <w:rsid w:val="00C70F98"/>
    <w:rsid w:val="00C713D7"/>
    <w:rsid w:val="00C71414"/>
    <w:rsid w:val="00C71457"/>
    <w:rsid w:val="00C7170A"/>
    <w:rsid w:val="00C71850"/>
    <w:rsid w:val="00C71D92"/>
    <w:rsid w:val="00C71E82"/>
    <w:rsid w:val="00C71F91"/>
    <w:rsid w:val="00C72442"/>
    <w:rsid w:val="00C72449"/>
    <w:rsid w:val="00C725EE"/>
    <w:rsid w:val="00C72B1C"/>
    <w:rsid w:val="00C730A2"/>
    <w:rsid w:val="00C735AF"/>
    <w:rsid w:val="00C73BE5"/>
    <w:rsid w:val="00C73E9D"/>
    <w:rsid w:val="00C740D1"/>
    <w:rsid w:val="00C74212"/>
    <w:rsid w:val="00C749B3"/>
    <w:rsid w:val="00C74D04"/>
    <w:rsid w:val="00C74DBC"/>
    <w:rsid w:val="00C752A5"/>
    <w:rsid w:val="00C75675"/>
    <w:rsid w:val="00C75AB4"/>
    <w:rsid w:val="00C76018"/>
    <w:rsid w:val="00C76060"/>
    <w:rsid w:val="00C762A2"/>
    <w:rsid w:val="00C76422"/>
    <w:rsid w:val="00C76712"/>
    <w:rsid w:val="00C76820"/>
    <w:rsid w:val="00C76A92"/>
    <w:rsid w:val="00C76A9A"/>
    <w:rsid w:val="00C76DE6"/>
    <w:rsid w:val="00C76F13"/>
    <w:rsid w:val="00C77227"/>
    <w:rsid w:val="00C775D3"/>
    <w:rsid w:val="00C7784E"/>
    <w:rsid w:val="00C7791E"/>
    <w:rsid w:val="00C77FD7"/>
    <w:rsid w:val="00C80597"/>
    <w:rsid w:val="00C807FF"/>
    <w:rsid w:val="00C80919"/>
    <w:rsid w:val="00C80BAF"/>
    <w:rsid w:val="00C80BE5"/>
    <w:rsid w:val="00C81057"/>
    <w:rsid w:val="00C8120E"/>
    <w:rsid w:val="00C812E8"/>
    <w:rsid w:val="00C8161C"/>
    <w:rsid w:val="00C8179C"/>
    <w:rsid w:val="00C81913"/>
    <w:rsid w:val="00C81C73"/>
    <w:rsid w:val="00C81E74"/>
    <w:rsid w:val="00C81E9A"/>
    <w:rsid w:val="00C82380"/>
    <w:rsid w:val="00C828A6"/>
    <w:rsid w:val="00C82CAA"/>
    <w:rsid w:val="00C82D47"/>
    <w:rsid w:val="00C82D4F"/>
    <w:rsid w:val="00C82ED7"/>
    <w:rsid w:val="00C83251"/>
    <w:rsid w:val="00C83B84"/>
    <w:rsid w:val="00C83EAB"/>
    <w:rsid w:val="00C83F56"/>
    <w:rsid w:val="00C840CC"/>
    <w:rsid w:val="00C8429D"/>
    <w:rsid w:val="00C846AB"/>
    <w:rsid w:val="00C8477B"/>
    <w:rsid w:val="00C84ABA"/>
    <w:rsid w:val="00C84E8E"/>
    <w:rsid w:val="00C8505F"/>
    <w:rsid w:val="00C85CBB"/>
    <w:rsid w:val="00C85D87"/>
    <w:rsid w:val="00C85EF1"/>
    <w:rsid w:val="00C85F95"/>
    <w:rsid w:val="00C86185"/>
    <w:rsid w:val="00C861C4"/>
    <w:rsid w:val="00C862D1"/>
    <w:rsid w:val="00C8644E"/>
    <w:rsid w:val="00C864F8"/>
    <w:rsid w:val="00C866F4"/>
    <w:rsid w:val="00C86766"/>
    <w:rsid w:val="00C86E96"/>
    <w:rsid w:val="00C87452"/>
    <w:rsid w:val="00C875B7"/>
    <w:rsid w:val="00C87A14"/>
    <w:rsid w:val="00C87C28"/>
    <w:rsid w:val="00C87CE1"/>
    <w:rsid w:val="00C87EF6"/>
    <w:rsid w:val="00C900CF"/>
    <w:rsid w:val="00C90216"/>
    <w:rsid w:val="00C90502"/>
    <w:rsid w:val="00C909EA"/>
    <w:rsid w:val="00C90A59"/>
    <w:rsid w:val="00C90D1B"/>
    <w:rsid w:val="00C90DA1"/>
    <w:rsid w:val="00C90E44"/>
    <w:rsid w:val="00C91311"/>
    <w:rsid w:val="00C9150C"/>
    <w:rsid w:val="00C916B8"/>
    <w:rsid w:val="00C9199A"/>
    <w:rsid w:val="00C919A4"/>
    <w:rsid w:val="00C92444"/>
    <w:rsid w:val="00C926A7"/>
    <w:rsid w:val="00C92A9D"/>
    <w:rsid w:val="00C9376B"/>
    <w:rsid w:val="00C93B6C"/>
    <w:rsid w:val="00C94157"/>
    <w:rsid w:val="00C94821"/>
    <w:rsid w:val="00C94FCF"/>
    <w:rsid w:val="00C95034"/>
    <w:rsid w:val="00C957DB"/>
    <w:rsid w:val="00C958E8"/>
    <w:rsid w:val="00C959F5"/>
    <w:rsid w:val="00C959F8"/>
    <w:rsid w:val="00C95C3B"/>
    <w:rsid w:val="00C95DBD"/>
    <w:rsid w:val="00C95E02"/>
    <w:rsid w:val="00C9636A"/>
    <w:rsid w:val="00C96648"/>
    <w:rsid w:val="00C967EB"/>
    <w:rsid w:val="00C96932"/>
    <w:rsid w:val="00C96A58"/>
    <w:rsid w:val="00C96BAA"/>
    <w:rsid w:val="00C96F30"/>
    <w:rsid w:val="00C97196"/>
    <w:rsid w:val="00C971B0"/>
    <w:rsid w:val="00C979B1"/>
    <w:rsid w:val="00C97B36"/>
    <w:rsid w:val="00CA00BC"/>
    <w:rsid w:val="00CA1148"/>
    <w:rsid w:val="00CA14B9"/>
    <w:rsid w:val="00CA150D"/>
    <w:rsid w:val="00CA1BEA"/>
    <w:rsid w:val="00CA1D61"/>
    <w:rsid w:val="00CA1F0A"/>
    <w:rsid w:val="00CA1F9F"/>
    <w:rsid w:val="00CA1FE6"/>
    <w:rsid w:val="00CA2201"/>
    <w:rsid w:val="00CA2677"/>
    <w:rsid w:val="00CA27CF"/>
    <w:rsid w:val="00CA2903"/>
    <w:rsid w:val="00CA2DB6"/>
    <w:rsid w:val="00CA34B5"/>
    <w:rsid w:val="00CA380B"/>
    <w:rsid w:val="00CA3928"/>
    <w:rsid w:val="00CA3E3C"/>
    <w:rsid w:val="00CA3E4E"/>
    <w:rsid w:val="00CA41B8"/>
    <w:rsid w:val="00CA41D0"/>
    <w:rsid w:val="00CA44FC"/>
    <w:rsid w:val="00CA454A"/>
    <w:rsid w:val="00CA489C"/>
    <w:rsid w:val="00CA4B1E"/>
    <w:rsid w:val="00CA4D95"/>
    <w:rsid w:val="00CA5094"/>
    <w:rsid w:val="00CA5187"/>
    <w:rsid w:val="00CA5248"/>
    <w:rsid w:val="00CA5611"/>
    <w:rsid w:val="00CA5C23"/>
    <w:rsid w:val="00CA6398"/>
    <w:rsid w:val="00CA67F5"/>
    <w:rsid w:val="00CA6C10"/>
    <w:rsid w:val="00CA6C84"/>
    <w:rsid w:val="00CA6DA1"/>
    <w:rsid w:val="00CA706C"/>
    <w:rsid w:val="00CA707F"/>
    <w:rsid w:val="00CA7685"/>
    <w:rsid w:val="00CA79E6"/>
    <w:rsid w:val="00CA7D12"/>
    <w:rsid w:val="00CB01B6"/>
    <w:rsid w:val="00CB0297"/>
    <w:rsid w:val="00CB0649"/>
    <w:rsid w:val="00CB0D44"/>
    <w:rsid w:val="00CB110C"/>
    <w:rsid w:val="00CB11F5"/>
    <w:rsid w:val="00CB121A"/>
    <w:rsid w:val="00CB1707"/>
    <w:rsid w:val="00CB1B18"/>
    <w:rsid w:val="00CB1EBB"/>
    <w:rsid w:val="00CB2085"/>
    <w:rsid w:val="00CB22C0"/>
    <w:rsid w:val="00CB2382"/>
    <w:rsid w:val="00CB2999"/>
    <w:rsid w:val="00CB2A9F"/>
    <w:rsid w:val="00CB2C95"/>
    <w:rsid w:val="00CB2D6F"/>
    <w:rsid w:val="00CB308D"/>
    <w:rsid w:val="00CB34FE"/>
    <w:rsid w:val="00CB3F50"/>
    <w:rsid w:val="00CB425F"/>
    <w:rsid w:val="00CB46C0"/>
    <w:rsid w:val="00CB4A37"/>
    <w:rsid w:val="00CB4B0D"/>
    <w:rsid w:val="00CB4EE2"/>
    <w:rsid w:val="00CB4EFA"/>
    <w:rsid w:val="00CB4F15"/>
    <w:rsid w:val="00CB52CF"/>
    <w:rsid w:val="00CB548C"/>
    <w:rsid w:val="00CB56F1"/>
    <w:rsid w:val="00CB5705"/>
    <w:rsid w:val="00CB584D"/>
    <w:rsid w:val="00CB5998"/>
    <w:rsid w:val="00CB59B1"/>
    <w:rsid w:val="00CB5A89"/>
    <w:rsid w:val="00CB5AB4"/>
    <w:rsid w:val="00CB5FFC"/>
    <w:rsid w:val="00CB6053"/>
    <w:rsid w:val="00CB6939"/>
    <w:rsid w:val="00CB6A70"/>
    <w:rsid w:val="00CB6EC8"/>
    <w:rsid w:val="00CB71A3"/>
    <w:rsid w:val="00CB77F8"/>
    <w:rsid w:val="00CB7F54"/>
    <w:rsid w:val="00CC0557"/>
    <w:rsid w:val="00CC05CF"/>
    <w:rsid w:val="00CC0A09"/>
    <w:rsid w:val="00CC0C4B"/>
    <w:rsid w:val="00CC0F00"/>
    <w:rsid w:val="00CC0FC2"/>
    <w:rsid w:val="00CC0FD7"/>
    <w:rsid w:val="00CC102C"/>
    <w:rsid w:val="00CC1093"/>
    <w:rsid w:val="00CC1669"/>
    <w:rsid w:val="00CC1674"/>
    <w:rsid w:val="00CC1964"/>
    <w:rsid w:val="00CC27D1"/>
    <w:rsid w:val="00CC3271"/>
    <w:rsid w:val="00CC382B"/>
    <w:rsid w:val="00CC3B1C"/>
    <w:rsid w:val="00CC3C88"/>
    <w:rsid w:val="00CC452C"/>
    <w:rsid w:val="00CC4603"/>
    <w:rsid w:val="00CC47F9"/>
    <w:rsid w:val="00CC4E22"/>
    <w:rsid w:val="00CC5542"/>
    <w:rsid w:val="00CC5B3A"/>
    <w:rsid w:val="00CC5D38"/>
    <w:rsid w:val="00CC5E2B"/>
    <w:rsid w:val="00CC6343"/>
    <w:rsid w:val="00CC67E3"/>
    <w:rsid w:val="00CC68F7"/>
    <w:rsid w:val="00CC6B6A"/>
    <w:rsid w:val="00CC6C7C"/>
    <w:rsid w:val="00CC6F94"/>
    <w:rsid w:val="00CC6FEF"/>
    <w:rsid w:val="00CC73AD"/>
    <w:rsid w:val="00CC753E"/>
    <w:rsid w:val="00CC7C21"/>
    <w:rsid w:val="00CC7D35"/>
    <w:rsid w:val="00CC7DAB"/>
    <w:rsid w:val="00CC7ECE"/>
    <w:rsid w:val="00CD08C2"/>
    <w:rsid w:val="00CD0A5F"/>
    <w:rsid w:val="00CD0D44"/>
    <w:rsid w:val="00CD0E74"/>
    <w:rsid w:val="00CD11A3"/>
    <w:rsid w:val="00CD17A4"/>
    <w:rsid w:val="00CD1882"/>
    <w:rsid w:val="00CD198C"/>
    <w:rsid w:val="00CD198E"/>
    <w:rsid w:val="00CD1AC2"/>
    <w:rsid w:val="00CD20AE"/>
    <w:rsid w:val="00CD2147"/>
    <w:rsid w:val="00CD220C"/>
    <w:rsid w:val="00CD240D"/>
    <w:rsid w:val="00CD24FA"/>
    <w:rsid w:val="00CD2906"/>
    <w:rsid w:val="00CD29A4"/>
    <w:rsid w:val="00CD2B89"/>
    <w:rsid w:val="00CD2E8F"/>
    <w:rsid w:val="00CD302B"/>
    <w:rsid w:val="00CD3117"/>
    <w:rsid w:val="00CD317A"/>
    <w:rsid w:val="00CD33A0"/>
    <w:rsid w:val="00CD3952"/>
    <w:rsid w:val="00CD3A37"/>
    <w:rsid w:val="00CD4142"/>
    <w:rsid w:val="00CD422E"/>
    <w:rsid w:val="00CD4383"/>
    <w:rsid w:val="00CD43D9"/>
    <w:rsid w:val="00CD45BB"/>
    <w:rsid w:val="00CD48A5"/>
    <w:rsid w:val="00CD4AC9"/>
    <w:rsid w:val="00CD4AD7"/>
    <w:rsid w:val="00CD4AE2"/>
    <w:rsid w:val="00CD4D28"/>
    <w:rsid w:val="00CD4FB9"/>
    <w:rsid w:val="00CD5527"/>
    <w:rsid w:val="00CD59F0"/>
    <w:rsid w:val="00CD5A66"/>
    <w:rsid w:val="00CD5AC9"/>
    <w:rsid w:val="00CD5CBD"/>
    <w:rsid w:val="00CD63B5"/>
    <w:rsid w:val="00CD650C"/>
    <w:rsid w:val="00CD6636"/>
    <w:rsid w:val="00CD6770"/>
    <w:rsid w:val="00CD7107"/>
    <w:rsid w:val="00CD73C3"/>
    <w:rsid w:val="00CD73D3"/>
    <w:rsid w:val="00CD7720"/>
    <w:rsid w:val="00CD789E"/>
    <w:rsid w:val="00CD78F3"/>
    <w:rsid w:val="00CD79E2"/>
    <w:rsid w:val="00CD7F07"/>
    <w:rsid w:val="00CD7F5B"/>
    <w:rsid w:val="00CE0074"/>
    <w:rsid w:val="00CE027B"/>
    <w:rsid w:val="00CE05D7"/>
    <w:rsid w:val="00CE0AA3"/>
    <w:rsid w:val="00CE0C6F"/>
    <w:rsid w:val="00CE0EC9"/>
    <w:rsid w:val="00CE0F0A"/>
    <w:rsid w:val="00CE1439"/>
    <w:rsid w:val="00CE1B7F"/>
    <w:rsid w:val="00CE1D57"/>
    <w:rsid w:val="00CE1E03"/>
    <w:rsid w:val="00CE1E21"/>
    <w:rsid w:val="00CE2074"/>
    <w:rsid w:val="00CE2115"/>
    <w:rsid w:val="00CE23C4"/>
    <w:rsid w:val="00CE252F"/>
    <w:rsid w:val="00CE2783"/>
    <w:rsid w:val="00CE2A1A"/>
    <w:rsid w:val="00CE2AB5"/>
    <w:rsid w:val="00CE2BC5"/>
    <w:rsid w:val="00CE340B"/>
    <w:rsid w:val="00CE3701"/>
    <w:rsid w:val="00CE3770"/>
    <w:rsid w:val="00CE3D14"/>
    <w:rsid w:val="00CE3EEE"/>
    <w:rsid w:val="00CE4612"/>
    <w:rsid w:val="00CE4A01"/>
    <w:rsid w:val="00CE4C6F"/>
    <w:rsid w:val="00CE53AF"/>
    <w:rsid w:val="00CE5450"/>
    <w:rsid w:val="00CE5633"/>
    <w:rsid w:val="00CE5642"/>
    <w:rsid w:val="00CE593B"/>
    <w:rsid w:val="00CE59C5"/>
    <w:rsid w:val="00CE5A81"/>
    <w:rsid w:val="00CE5CAA"/>
    <w:rsid w:val="00CE6261"/>
    <w:rsid w:val="00CE6563"/>
    <w:rsid w:val="00CE6C01"/>
    <w:rsid w:val="00CE6C1C"/>
    <w:rsid w:val="00CE71E7"/>
    <w:rsid w:val="00CE7C67"/>
    <w:rsid w:val="00CE7DE7"/>
    <w:rsid w:val="00CE81F3"/>
    <w:rsid w:val="00CF0320"/>
    <w:rsid w:val="00CF0341"/>
    <w:rsid w:val="00CF0453"/>
    <w:rsid w:val="00CF0710"/>
    <w:rsid w:val="00CF09C8"/>
    <w:rsid w:val="00CF102A"/>
    <w:rsid w:val="00CF1392"/>
    <w:rsid w:val="00CF143E"/>
    <w:rsid w:val="00CF18A3"/>
    <w:rsid w:val="00CF18A8"/>
    <w:rsid w:val="00CF2193"/>
    <w:rsid w:val="00CF223C"/>
    <w:rsid w:val="00CF253D"/>
    <w:rsid w:val="00CF25A7"/>
    <w:rsid w:val="00CF275C"/>
    <w:rsid w:val="00CF2840"/>
    <w:rsid w:val="00CF2ECB"/>
    <w:rsid w:val="00CF2FA4"/>
    <w:rsid w:val="00CF3CF6"/>
    <w:rsid w:val="00CF3E5B"/>
    <w:rsid w:val="00CF44C0"/>
    <w:rsid w:val="00CF45CB"/>
    <w:rsid w:val="00CF483F"/>
    <w:rsid w:val="00CF4EBB"/>
    <w:rsid w:val="00CF4F7C"/>
    <w:rsid w:val="00CF512F"/>
    <w:rsid w:val="00CF51E7"/>
    <w:rsid w:val="00CF55D9"/>
    <w:rsid w:val="00CF5B1B"/>
    <w:rsid w:val="00CF5DD8"/>
    <w:rsid w:val="00CF6222"/>
    <w:rsid w:val="00CF643F"/>
    <w:rsid w:val="00CF6678"/>
    <w:rsid w:val="00CF6924"/>
    <w:rsid w:val="00CF6C46"/>
    <w:rsid w:val="00CF6F06"/>
    <w:rsid w:val="00CF70ED"/>
    <w:rsid w:val="00CF7397"/>
    <w:rsid w:val="00CF7AA1"/>
    <w:rsid w:val="00CF7F2F"/>
    <w:rsid w:val="00CF7F83"/>
    <w:rsid w:val="00D001F1"/>
    <w:rsid w:val="00D0072C"/>
    <w:rsid w:val="00D00AC5"/>
    <w:rsid w:val="00D00BF7"/>
    <w:rsid w:val="00D00EBC"/>
    <w:rsid w:val="00D00EC4"/>
    <w:rsid w:val="00D0108D"/>
    <w:rsid w:val="00D012BA"/>
    <w:rsid w:val="00D01829"/>
    <w:rsid w:val="00D01D84"/>
    <w:rsid w:val="00D023DC"/>
    <w:rsid w:val="00D025F1"/>
    <w:rsid w:val="00D02617"/>
    <w:rsid w:val="00D02686"/>
    <w:rsid w:val="00D026A2"/>
    <w:rsid w:val="00D02B28"/>
    <w:rsid w:val="00D02E05"/>
    <w:rsid w:val="00D02F08"/>
    <w:rsid w:val="00D0306B"/>
    <w:rsid w:val="00D03482"/>
    <w:rsid w:val="00D03C02"/>
    <w:rsid w:val="00D03DDA"/>
    <w:rsid w:val="00D04826"/>
    <w:rsid w:val="00D04DE6"/>
    <w:rsid w:val="00D05107"/>
    <w:rsid w:val="00D053C5"/>
    <w:rsid w:val="00D057E0"/>
    <w:rsid w:val="00D05D58"/>
    <w:rsid w:val="00D05E2F"/>
    <w:rsid w:val="00D05E51"/>
    <w:rsid w:val="00D0627C"/>
    <w:rsid w:val="00D0648B"/>
    <w:rsid w:val="00D064ED"/>
    <w:rsid w:val="00D07045"/>
    <w:rsid w:val="00D07351"/>
    <w:rsid w:val="00D07372"/>
    <w:rsid w:val="00D078C3"/>
    <w:rsid w:val="00D07920"/>
    <w:rsid w:val="00D07B44"/>
    <w:rsid w:val="00D07E12"/>
    <w:rsid w:val="00D10219"/>
    <w:rsid w:val="00D1024E"/>
    <w:rsid w:val="00D102E7"/>
    <w:rsid w:val="00D10309"/>
    <w:rsid w:val="00D10480"/>
    <w:rsid w:val="00D10BA0"/>
    <w:rsid w:val="00D11109"/>
    <w:rsid w:val="00D1116A"/>
    <w:rsid w:val="00D11597"/>
    <w:rsid w:val="00D11916"/>
    <w:rsid w:val="00D11BCB"/>
    <w:rsid w:val="00D12256"/>
    <w:rsid w:val="00D123E2"/>
    <w:rsid w:val="00D12603"/>
    <w:rsid w:val="00D1260B"/>
    <w:rsid w:val="00D126C1"/>
    <w:rsid w:val="00D12716"/>
    <w:rsid w:val="00D12B07"/>
    <w:rsid w:val="00D12B58"/>
    <w:rsid w:val="00D13050"/>
    <w:rsid w:val="00D1319F"/>
    <w:rsid w:val="00D1334B"/>
    <w:rsid w:val="00D135D3"/>
    <w:rsid w:val="00D13662"/>
    <w:rsid w:val="00D137D2"/>
    <w:rsid w:val="00D13B3F"/>
    <w:rsid w:val="00D141C0"/>
    <w:rsid w:val="00D1434A"/>
    <w:rsid w:val="00D14491"/>
    <w:rsid w:val="00D14F00"/>
    <w:rsid w:val="00D150CE"/>
    <w:rsid w:val="00D15389"/>
    <w:rsid w:val="00D15A64"/>
    <w:rsid w:val="00D15BFF"/>
    <w:rsid w:val="00D15E54"/>
    <w:rsid w:val="00D15EC1"/>
    <w:rsid w:val="00D15FAE"/>
    <w:rsid w:val="00D16451"/>
    <w:rsid w:val="00D16534"/>
    <w:rsid w:val="00D16941"/>
    <w:rsid w:val="00D16A91"/>
    <w:rsid w:val="00D16B7F"/>
    <w:rsid w:val="00D16C1D"/>
    <w:rsid w:val="00D16D29"/>
    <w:rsid w:val="00D171AD"/>
    <w:rsid w:val="00D1722E"/>
    <w:rsid w:val="00D17553"/>
    <w:rsid w:val="00D1787C"/>
    <w:rsid w:val="00D1795E"/>
    <w:rsid w:val="00D17B4D"/>
    <w:rsid w:val="00D17D0B"/>
    <w:rsid w:val="00D17E79"/>
    <w:rsid w:val="00D17E7E"/>
    <w:rsid w:val="00D2026F"/>
    <w:rsid w:val="00D202E3"/>
    <w:rsid w:val="00D20658"/>
    <w:rsid w:val="00D2095F"/>
    <w:rsid w:val="00D20A0B"/>
    <w:rsid w:val="00D20C4C"/>
    <w:rsid w:val="00D20DF7"/>
    <w:rsid w:val="00D20F86"/>
    <w:rsid w:val="00D216DE"/>
    <w:rsid w:val="00D219E5"/>
    <w:rsid w:val="00D21A0D"/>
    <w:rsid w:val="00D21BD2"/>
    <w:rsid w:val="00D21BFA"/>
    <w:rsid w:val="00D21C69"/>
    <w:rsid w:val="00D2223A"/>
    <w:rsid w:val="00D225D0"/>
    <w:rsid w:val="00D22B6D"/>
    <w:rsid w:val="00D22BB9"/>
    <w:rsid w:val="00D22C01"/>
    <w:rsid w:val="00D22CB9"/>
    <w:rsid w:val="00D22DFB"/>
    <w:rsid w:val="00D234C2"/>
    <w:rsid w:val="00D23987"/>
    <w:rsid w:val="00D23BC2"/>
    <w:rsid w:val="00D23C97"/>
    <w:rsid w:val="00D23EB3"/>
    <w:rsid w:val="00D23EEA"/>
    <w:rsid w:val="00D2422A"/>
    <w:rsid w:val="00D244E1"/>
    <w:rsid w:val="00D24658"/>
    <w:rsid w:val="00D246E1"/>
    <w:rsid w:val="00D2480E"/>
    <w:rsid w:val="00D2495E"/>
    <w:rsid w:val="00D24DAB"/>
    <w:rsid w:val="00D24E81"/>
    <w:rsid w:val="00D24E87"/>
    <w:rsid w:val="00D24F62"/>
    <w:rsid w:val="00D251BB"/>
    <w:rsid w:val="00D2581B"/>
    <w:rsid w:val="00D25959"/>
    <w:rsid w:val="00D259D6"/>
    <w:rsid w:val="00D25C90"/>
    <w:rsid w:val="00D263B6"/>
    <w:rsid w:val="00D266C9"/>
    <w:rsid w:val="00D2684B"/>
    <w:rsid w:val="00D275E9"/>
    <w:rsid w:val="00D27639"/>
    <w:rsid w:val="00D2784A"/>
    <w:rsid w:val="00D27B91"/>
    <w:rsid w:val="00D27CA9"/>
    <w:rsid w:val="00D27E46"/>
    <w:rsid w:val="00D302D0"/>
    <w:rsid w:val="00D30308"/>
    <w:rsid w:val="00D303A4"/>
    <w:rsid w:val="00D30892"/>
    <w:rsid w:val="00D30966"/>
    <w:rsid w:val="00D31162"/>
    <w:rsid w:val="00D311D6"/>
    <w:rsid w:val="00D31239"/>
    <w:rsid w:val="00D31739"/>
    <w:rsid w:val="00D31A3B"/>
    <w:rsid w:val="00D32014"/>
    <w:rsid w:val="00D320D3"/>
    <w:rsid w:val="00D3213C"/>
    <w:rsid w:val="00D3240C"/>
    <w:rsid w:val="00D32ADF"/>
    <w:rsid w:val="00D32D5E"/>
    <w:rsid w:val="00D32DAC"/>
    <w:rsid w:val="00D32F03"/>
    <w:rsid w:val="00D32F47"/>
    <w:rsid w:val="00D34051"/>
    <w:rsid w:val="00D34609"/>
    <w:rsid w:val="00D348CC"/>
    <w:rsid w:val="00D35293"/>
    <w:rsid w:val="00D3568B"/>
    <w:rsid w:val="00D3574E"/>
    <w:rsid w:val="00D35845"/>
    <w:rsid w:val="00D35A9A"/>
    <w:rsid w:val="00D35C36"/>
    <w:rsid w:val="00D35C81"/>
    <w:rsid w:val="00D35E12"/>
    <w:rsid w:val="00D35F35"/>
    <w:rsid w:val="00D35F78"/>
    <w:rsid w:val="00D36181"/>
    <w:rsid w:val="00D3627D"/>
    <w:rsid w:val="00D363EE"/>
    <w:rsid w:val="00D36758"/>
    <w:rsid w:val="00D36998"/>
    <w:rsid w:val="00D36A09"/>
    <w:rsid w:val="00D36ACE"/>
    <w:rsid w:val="00D36D7F"/>
    <w:rsid w:val="00D36F25"/>
    <w:rsid w:val="00D37145"/>
    <w:rsid w:val="00D37178"/>
    <w:rsid w:val="00D372AD"/>
    <w:rsid w:val="00D3746A"/>
    <w:rsid w:val="00D37D05"/>
    <w:rsid w:val="00D37D73"/>
    <w:rsid w:val="00D37F07"/>
    <w:rsid w:val="00D40115"/>
    <w:rsid w:val="00D40123"/>
    <w:rsid w:val="00D4021A"/>
    <w:rsid w:val="00D4063D"/>
    <w:rsid w:val="00D40C41"/>
    <w:rsid w:val="00D40F09"/>
    <w:rsid w:val="00D41158"/>
    <w:rsid w:val="00D413DC"/>
    <w:rsid w:val="00D414A3"/>
    <w:rsid w:val="00D415E4"/>
    <w:rsid w:val="00D418E3"/>
    <w:rsid w:val="00D41A1B"/>
    <w:rsid w:val="00D42635"/>
    <w:rsid w:val="00D428AD"/>
    <w:rsid w:val="00D42A7E"/>
    <w:rsid w:val="00D42C1B"/>
    <w:rsid w:val="00D42C38"/>
    <w:rsid w:val="00D431C7"/>
    <w:rsid w:val="00D434B3"/>
    <w:rsid w:val="00D43626"/>
    <w:rsid w:val="00D43912"/>
    <w:rsid w:val="00D43AC0"/>
    <w:rsid w:val="00D43DFC"/>
    <w:rsid w:val="00D44595"/>
    <w:rsid w:val="00D445CE"/>
    <w:rsid w:val="00D44729"/>
    <w:rsid w:val="00D44EC0"/>
    <w:rsid w:val="00D44F1F"/>
    <w:rsid w:val="00D44FC6"/>
    <w:rsid w:val="00D450A3"/>
    <w:rsid w:val="00D4594E"/>
    <w:rsid w:val="00D45AD4"/>
    <w:rsid w:val="00D45E11"/>
    <w:rsid w:val="00D465CA"/>
    <w:rsid w:val="00D4667D"/>
    <w:rsid w:val="00D46A5D"/>
    <w:rsid w:val="00D46E8E"/>
    <w:rsid w:val="00D47673"/>
    <w:rsid w:val="00D47800"/>
    <w:rsid w:val="00D47972"/>
    <w:rsid w:val="00D479AD"/>
    <w:rsid w:val="00D47C5C"/>
    <w:rsid w:val="00D50009"/>
    <w:rsid w:val="00D5037F"/>
    <w:rsid w:val="00D50914"/>
    <w:rsid w:val="00D50E52"/>
    <w:rsid w:val="00D50EF6"/>
    <w:rsid w:val="00D5117C"/>
    <w:rsid w:val="00D513A4"/>
    <w:rsid w:val="00D51499"/>
    <w:rsid w:val="00D515B9"/>
    <w:rsid w:val="00D51EB4"/>
    <w:rsid w:val="00D51EB6"/>
    <w:rsid w:val="00D51F92"/>
    <w:rsid w:val="00D51F94"/>
    <w:rsid w:val="00D520D6"/>
    <w:rsid w:val="00D52BEB"/>
    <w:rsid w:val="00D52E9B"/>
    <w:rsid w:val="00D53170"/>
    <w:rsid w:val="00D5361C"/>
    <w:rsid w:val="00D53BD4"/>
    <w:rsid w:val="00D54176"/>
    <w:rsid w:val="00D543D1"/>
    <w:rsid w:val="00D54550"/>
    <w:rsid w:val="00D54C6D"/>
    <w:rsid w:val="00D5549E"/>
    <w:rsid w:val="00D554F2"/>
    <w:rsid w:val="00D5557C"/>
    <w:rsid w:val="00D555FB"/>
    <w:rsid w:val="00D55629"/>
    <w:rsid w:val="00D55694"/>
    <w:rsid w:val="00D56282"/>
    <w:rsid w:val="00D5667C"/>
    <w:rsid w:val="00D568F2"/>
    <w:rsid w:val="00D56D05"/>
    <w:rsid w:val="00D56D21"/>
    <w:rsid w:val="00D56DD9"/>
    <w:rsid w:val="00D5708D"/>
    <w:rsid w:val="00D57413"/>
    <w:rsid w:val="00D575BD"/>
    <w:rsid w:val="00D57ABD"/>
    <w:rsid w:val="00D57CF9"/>
    <w:rsid w:val="00D60062"/>
    <w:rsid w:val="00D60242"/>
    <w:rsid w:val="00D603D3"/>
    <w:rsid w:val="00D609CC"/>
    <w:rsid w:val="00D60BD6"/>
    <w:rsid w:val="00D60DD6"/>
    <w:rsid w:val="00D60FC9"/>
    <w:rsid w:val="00D6119D"/>
    <w:rsid w:val="00D611C5"/>
    <w:rsid w:val="00D615A2"/>
    <w:rsid w:val="00D6166B"/>
    <w:rsid w:val="00D61BD9"/>
    <w:rsid w:val="00D61C72"/>
    <w:rsid w:val="00D61E8B"/>
    <w:rsid w:val="00D623E6"/>
    <w:rsid w:val="00D624F9"/>
    <w:rsid w:val="00D62DA0"/>
    <w:rsid w:val="00D62E66"/>
    <w:rsid w:val="00D630BB"/>
    <w:rsid w:val="00D63410"/>
    <w:rsid w:val="00D638B1"/>
    <w:rsid w:val="00D639A1"/>
    <w:rsid w:val="00D63DC5"/>
    <w:rsid w:val="00D64092"/>
    <w:rsid w:val="00D640F1"/>
    <w:rsid w:val="00D645A4"/>
    <w:rsid w:val="00D64677"/>
    <w:rsid w:val="00D6474C"/>
    <w:rsid w:val="00D6481A"/>
    <w:rsid w:val="00D6492B"/>
    <w:rsid w:val="00D64AA6"/>
    <w:rsid w:val="00D64B64"/>
    <w:rsid w:val="00D64C85"/>
    <w:rsid w:val="00D65252"/>
    <w:rsid w:val="00D6544B"/>
    <w:rsid w:val="00D654E8"/>
    <w:rsid w:val="00D655E6"/>
    <w:rsid w:val="00D65623"/>
    <w:rsid w:val="00D6564E"/>
    <w:rsid w:val="00D65698"/>
    <w:rsid w:val="00D6578F"/>
    <w:rsid w:val="00D6589E"/>
    <w:rsid w:val="00D658C7"/>
    <w:rsid w:val="00D65E54"/>
    <w:rsid w:val="00D662CD"/>
    <w:rsid w:val="00D665DA"/>
    <w:rsid w:val="00D667E8"/>
    <w:rsid w:val="00D669CE"/>
    <w:rsid w:val="00D66B1B"/>
    <w:rsid w:val="00D66C5F"/>
    <w:rsid w:val="00D67039"/>
    <w:rsid w:val="00D671B3"/>
    <w:rsid w:val="00D671B6"/>
    <w:rsid w:val="00D674DA"/>
    <w:rsid w:val="00D6753C"/>
    <w:rsid w:val="00D678B0"/>
    <w:rsid w:val="00D679E3"/>
    <w:rsid w:val="00D67C03"/>
    <w:rsid w:val="00D67C9D"/>
    <w:rsid w:val="00D67EA1"/>
    <w:rsid w:val="00D70144"/>
    <w:rsid w:val="00D70201"/>
    <w:rsid w:val="00D70529"/>
    <w:rsid w:val="00D70596"/>
    <w:rsid w:val="00D70919"/>
    <w:rsid w:val="00D709D1"/>
    <w:rsid w:val="00D709FE"/>
    <w:rsid w:val="00D70A02"/>
    <w:rsid w:val="00D70A87"/>
    <w:rsid w:val="00D70C86"/>
    <w:rsid w:val="00D71374"/>
    <w:rsid w:val="00D71AAA"/>
    <w:rsid w:val="00D71C9F"/>
    <w:rsid w:val="00D71D57"/>
    <w:rsid w:val="00D71DC6"/>
    <w:rsid w:val="00D7238D"/>
    <w:rsid w:val="00D72D9E"/>
    <w:rsid w:val="00D72DE1"/>
    <w:rsid w:val="00D7334A"/>
    <w:rsid w:val="00D73C9A"/>
    <w:rsid w:val="00D73DA1"/>
    <w:rsid w:val="00D741BE"/>
    <w:rsid w:val="00D74573"/>
    <w:rsid w:val="00D745DC"/>
    <w:rsid w:val="00D74645"/>
    <w:rsid w:val="00D748EC"/>
    <w:rsid w:val="00D749FE"/>
    <w:rsid w:val="00D74AD7"/>
    <w:rsid w:val="00D74BBB"/>
    <w:rsid w:val="00D7520A"/>
    <w:rsid w:val="00D75714"/>
    <w:rsid w:val="00D75817"/>
    <w:rsid w:val="00D7582A"/>
    <w:rsid w:val="00D759B4"/>
    <w:rsid w:val="00D75B08"/>
    <w:rsid w:val="00D75BA8"/>
    <w:rsid w:val="00D75E05"/>
    <w:rsid w:val="00D7605D"/>
    <w:rsid w:val="00D7614A"/>
    <w:rsid w:val="00D76474"/>
    <w:rsid w:val="00D76B57"/>
    <w:rsid w:val="00D76B6B"/>
    <w:rsid w:val="00D77452"/>
    <w:rsid w:val="00D77553"/>
    <w:rsid w:val="00D775F8"/>
    <w:rsid w:val="00D77651"/>
    <w:rsid w:val="00D77745"/>
    <w:rsid w:val="00D777D0"/>
    <w:rsid w:val="00D778CE"/>
    <w:rsid w:val="00D77A6B"/>
    <w:rsid w:val="00D80823"/>
    <w:rsid w:val="00D80B77"/>
    <w:rsid w:val="00D8100A"/>
    <w:rsid w:val="00D8108E"/>
    <w:rsid w:val="00D81304"/>
    <w:rsid w:val="00D81314"/>
    <w:rsid w:val="00D8169A"/>
    <w:rsid w:val="00D81AEB"/>
    <w:rsid w:val="00D81C60"/>
    <w:rsid w:val="00D822E5"/>
    <w:rsid w:val="00D83552"/>
    <w:rsid w:val="00D83913"/>
    <w:rsid w:val="00D83F0D"/>
    <w:rsid w:val="00D83F52"/>
    <w:rsid w:val="00D83FD3"/>
    <w:rsid w:val="00D8401F"/>
    <w:rsid w:val="00D85042"/>
    <w:rsid w:val="00D852C8"/>
    <w:rsid w:val="00D856B4"/>
    <w:rsid w:val="00D85A58"/>
    <w:rsid w:val="00D85DA5"/>
    <w:rsid w:val="00D86248"/>
    <w:rsid w:val="00D8628D"/>
    <w:rsid w:val="00D865D3"/>
    <w:rsid w:val="00D8684C"/>
    <w:rsid w:val="00D869C7"/>
    <w:rsid w:val="00D869FD"/>
    <w:rsid w:val="00D86BD5"/>
    <w:rsid w:val="00D86EA3"/>
    <w:rsid w:val="00D86FDE"/>
    <w:rsid w:val="00D871C2"/>
    <w:rsid w:val="00D87311"/>
    <w:rsid w:val="00D87314"/>
    <w:rsid w:val="00D8741E"/>
    <w:rsid w:val="00D8784E"/>
    <w:rsid w:val="00D87B41"/>
    <w:rsid w:val="00D90088"/>
    <w:rsid w:val="00D900E3"/>
    <w:rsid w:val="00D902D8"/>
    <w:rsid w:val="00D905F7"/>
    <w:rsid w:val="00D90A4C"/>
    <w:rsid w:val="00D90ADB"/>
    <w:rsid w:val="00D90D4D"/>
    <w:rsid w:val="00D90FB3"/>
    <w:rsid w:val="00D91142"/>
    <w:rsid w:val="00D911DA"/>
    <w:rsid w:val="00D91801"/>
    <w:rsid w:val="00D91898"/>
    <w:rsid w:val="00D91A4B"/>
    <w:rsid w:val="00D91A99"/>
    <w:rsid w:val="00D91E59"/>
    <w:rsid w:val="00D91EFB"/>
    <w:rsid w:val="00D921B1"/>
    <w:rsid w:val="00D9233A"/>
    <w:rsid w:val="00D924DE"/>
    <w:rsid w:val="00D92F21"/>
    <w:rsid w:val="00D92F38"/>
    <w:rsid w:val="00D9300A"/>
    <w:rsid w:val="00D93168"/>
    <w:rsid w:val="00D93584"/>
    <w:rsid w:val="00D93850"/>
    <w:rsid w:val="00D93864"/>
    <w:rsid w:val="00D938AC"/>
    <w:rsid w:val="00D93ACB"/>
    <w:rsid w:val="00D93B5B"/>
    <w:rsid w:val="00D93CC6"/>
    <w:rsid w:val="00D93F70"/>
    <w:rsid w:val="00D93FEB"/>
    <w:rsid w:val="00D94834"/>
    <w:rsid w:val="00D9498C"/>
    <w:rsid w:val="00D949F9"/>
    <w:rsid w:val="00D9509D"/>
    <w:rsid w:val="00D95125"/>
    <w:rsid w:val="00D9525B"/>
    <w:rsid w:val="00D9547C"/>
    <w:rsid w:val="00D95524"/>
    <w:rsid w:val="00D95647"/>
    <w:rsid w:val="00D959CC"/>
    <w:rsid w:val="00D95F28"/>
    <w:rsid w:val="00D960C8"/>
    <w:rsid w:val="00D961EE"/>
    <w:rsid w:val="00D96294"/>
    <w:rsid w:val="00D96308"/>
    <w:rsid w:val="00D968DA"/>
    <w:rsid w:val="00D96A3D"/>
    <w:rsid w:val="00D96EB5"/>
    <w:rsid w:val="00D96FBF"/>
    <w:rsid w:val="00D9712B"/>
    <w:rsid w:val="00D97362"/>
    <w:rsid w:val="00D97390"/>
    <w:rsid w:val="00D97DC1"/>
    <w:rsid w:val="00DA0492"/>
    <w:rsid w:val="00DA0B2B"/>
    <w:rsid w:val="00DA1170"/>
    <w:rsid w:val="00DA14AA"/>
    <w:rsid w:val="00DA162A"/>
    <w:rsid w:val="00DA1854"/>
    <w:rsid w:val="00DA1A16"/>
    <w:rsid w:val="00DA1B03"/>
    <w:rsid w:val="00DA1BA6"/>
    <w:rsid w:val="00DA1CEE"/>
    <w:rsid w:val="00DA2173"/>
    <w:rsid w:val="00DA257A"/>
    <w:rsid w:val="00DA32D1"/>
    <w:rsid w:val="00DA33A7"/>
    <w:rsid w:val="00DA343E"/>
    <w:rsid w:val="00DA3490"/>
    <w:rsid w:val="00DA3495"/>
    <w:rsid w:val="00DA34BC"/>
    <w:rsid w:val="00DA34DC"/>
    <w:rsid w:val="00DA35C3"/>
    <w:rsid w:val="00DA377E"/>
    <w:rsid w:val="00DA39E0"/>
    <w:rsid w:val="00DA3DDC"/>
    <w:rsid w:val="00DA3FDF"/>
    <w:rsid w:val="00DA4289"/>
    <w:rsid w:val="00DA434D"/>
    <w:rsid w:val="00DA438B"/>
    <w:rsid w:val="00DA496C"/>
    <w:rsid w:val="00DA4E3D"/>
    <w:rsid w:val="00DA4E54"/>
    <w:rsid w:val="00DA50D7"/>
    <w:rsid w:val="00DA51D9"/>
    <w:rsid w:val="00DA53B1"/>
    <w:rsid w:val="00DA53E7"/>
    <w:rsid w:val="00DA5D7A"/>
    <w:rsid w:val="00DA62FC"/>
    <w:rsid w:val="00DA68C4"/>
    <w:rsid w:val="00DA6BCF"/>
    <w:rsid w:val="00DA6BE1"/>
    <w:rsid w:val="00DA6EFC"/>
    <w:rsid w:val="00DA7246"/>
    <w:rsid w:val="00DA7ADD"/>
    <w:rsid w:val="00DA7B5F"/>
    <w:rsid w:val="00DA7B94"/>
    <w:rsid w:val="00DA7C6E"/>
    <w:rsid w:val="00DA7F23"/>
    <w:rsid w:val="00DB047C"/>
    <w:rsid w:val="00DB057C"/>
    <w:rsid w:val="00DB05C6"/>
    <w:rsid w:val="00DB0A7F"/>
    <w:rsid w:val="00DB0C4D"/>
    <w:rsid w:val="00DB0CE2"/>
    <w:rsid w:val="00DB0DD4"/>
    <w:rsid w:val="00DB0E73"/>
    <w:rsid w:val="00DB163A"/>
    <w:rsid w:val="00DB1B24"/>
    <w:rsid w:val="00DB1D80"/>
    <w:rsid w:val="00DB1E50"/>
    <w:rsid w:val="00DB20FB"/>
    <w:rsid w:val="00DB245E"/>
    <w:rsid w:val="00DB266A"/>
    <w:rsid w:val="00DB27E1"/>
    <w:rsid w:val="00DB29E1"/>
    <w:rsid w:val="00DB2A02"/>
    <w:rsid w:val="00DB2B18"/>
    <w:rsid w:val="00DB2C34"/>
    <w:rsid w:val="00DB3689"/>
    <w:rsid w:val="00DB36B8"/>
    <w:rsid w:val="00DB3786"/>
    <w:rsid w:val="00DB3BF1"/>
    <w:rsid w:val="00DB41B6"/>
    <w:rsid w:val="00DB438A"/>
    <w:rsid w:val="00DB44BE"/>
    <w:rsid w:val="00DB46F7"/>
    <w:rsid w:val="00DB4785"/>
    <w:rsid w:val="00DB482C"/>
    <w:rsid w:val="00DB48CD"/>
    <w:rsid w:val="00DB4D88"/>
    <w:rsid w:val="00DB4DAF"/>
    <w:rsid w:val="00DB4F08"/>
    <w:rsid w:val="00DB5405"/>
    <w:rsid w:val="00DB5607"/>
    <w:rsid w:val="00DB5898"/>
    <w:rsid w:val="00DB59DF"/>
    <w:rsid w:val="00DB5D6E"/>
    <w:rsid w:val="00DB5F86"/>
    <w:rsid w:val="00DB5FB3"/>
    <w:rsid w:val="00DB6175"/>
    <w:rsid w:val="00DB620C"/>
    <w:rsid w:val="00DB66A2"/>
    <w:rsid w:val="00DB690E"/>
    <w:rsid w:val="00DB6D9B"/>
    <w:rsid w:val="00DB7442"/>
    <w:rsid w:val="00DB7641"/>
    <w:rsid w:val="00DB7689"/>
    <w:rsid w:val="00DB7726"/>
    <w:rsid w:val="00DB7A0E"/>
    <w:rsid w:val="00DB7A39"/>
    <w:rsid w:val="00DB7D9D"/>
    <w:rsid w:val="00DC01F7"/>
    <w:rsid w:val="00DC0293"/>
    <w:rsid w:val="00DC0435"/>
    <w:rsid w:val="00DC04F3"/>
    <w:rsid w:val="00DC095E"/>
    <w:rsid w:val="00DC1135"/>
    <w:rsid w:val="00DC11F1"/>
    <w:rsid w:val="00DC1587"/>
    <w:rsid w:val="00DC1C21"/>
    <w:rsid w:val="00DC1E95"/>
    <w:rsid w:val="00DC1F3E"/>
    <w:rsid w:val="00DC218D"/>
    <w:rsid w:val="00DC2284"/>
    <w:rsid w:val="00DC236C"/>
    <w:rsid w:val="00DC2396"/>
    <w:rsid w:val="00DC2415"/>
    <w:rsid w:val="00DC2A1A"/>
    <w:rsid w:val="00DC3136"/>
    <w:rsid w:val="00DC378B"/>
    <w:rsid w:val="00DC3A3E"/>
    <w:rsid w:val="00DC3CB6"/>
    <w:rsid w:val="00DC44CB"/>
    <w:rsid w:val="00DC4670"/>
    <w:rsid w:val="00DC49F9"/>
    <w:rsid w:val="00DC4D11"/>
    <w:rsid w:val="00DC4E28"/>
    <w:rsid w:val="00DC4E56"/>
    <w:rsid w:val="00DC4FBA"/>
    <w:rsid w:val="00DC4FEE"/>
    <w:rsid w:val="00DC50B4"/>
    <w:rsid w:val="00DC5408"/>
    <w:rsid w:val="00DC5584"/>
    <w:rsid w:val="00DC55BD"/>
    <w:rsid w:val="00DC561C"/>
    <w:rsid w:val="00DC5BCC"/>
    <w:rsid w:val="00DC640A"/>
    <w:rsid w:val="00DC6A20"/>
    <w:rsid w:val="00DC6CA1"/>
    <w:rsid w:val="00DC6DAB"/>
    <w:rsid w:val="00DC6FF8"/>
    <w:rsid w:val="00DC730B"/>
    <w:rsid w:val="00DC740F"/>
    <w:rsid w:val="00DC7A07"/>
    <w:rsid w:val="00DC7B59"/>
    <w:rsid w:val="00DD0658"/>
    <w:rsid w:val="00DD0DA8"/>
    <w:rsid w:val="00DD1563"/>
    <w:rsid w:val="00DD15CD"/>
    <w:rsid w:val="00DD180F"/>
    <w:rsid w:val="00DD19D2"/>
    <w:rsid w:val="00DD1B3E"/>
    <w:rsid w:val="00DD1CA0"/>
    <w:rsid w:val="00DD21AD"/>
    <w:rsid w:val="00DD23BA"/>
    <w:rsid w:val="00DD24B9"/>
    <w:rsid w:val="00DD2538"/>
    <w:rsid w:val="00DD26A6"/>
    <w:rsid w:val="00DD2766"/>
    <w:rsid w:val="00DD2CD9"/>
    <w:rsid w:val="00DD2E69"/>
    <w:rsid w:val="00DD3A1E"/>
    <w:rsid w:val="00DD3AA5"/>
    <w:rsid w:val="00DD3F0A"/>
    <w:rsid w:val="00DD4305"/>
    <w:rsid w:val="00DD43A8"/>
    <w:rsid w:val="00DD4401"/>
    <w:rsid w:val="00DD4525"/>
    <w:rsid w:val="00DD4748"/>
    <w:rsid w:val="00DD4956"/>
    <w:rsid w:val="00DD4B2A"/>
    <w:rsid w:val="00DD5263"/>
    <w:rsid w:val="00DD5562"/>
    <w:rsid w:val="00DD5921"/>
    <w:rsid w:val="00DD5B58"/>
    <w:rsid w:val="00DD5E42"/>
    <w:rsid w:val="00DD6097"/>
    <w:rsid w:val="00DD6287"/>
    <w:rsid w:val="00DD634F"/>
    <w:rsid w:val="00DD6378"/>
    <w:rsid w:val="00DD677E"/>
    <w:rsid w:val="00DD6CA2"/>
    <w:rsid w:val="00DE044A"/>
    <w:rsid w:val="00DE0602"/>
    <w:rsid w:val="00DE06EF"/>
    <w:rsid w:val="00DE083E"/>
    <w:rsid w:val="00DE09C5"/>
    <w:rsid w:val="00DE0BB0"/>
    <w:rsid w:val="00DE0CB2"/>
    <w:rsid w:val="00DE0CE6"/>
    <w:rsid w:val="00DE0D74"/>
    <w:rsid w:val="00DE109E"/>
    <w:rsid w:val="00DE1448"/>
    <w:rsid w:val="00DE14F8"/>
    <w:rsid w:val="00DE1983"/>
    <w:rsid w:val="00DE1C8E"/>
    <w:rsid w:val="00DE1E73"/>
    <w:rsid w:val="00DE1FB8"/>
    <w:rsid w:val="00DE2037"/>
    <w:rsid w:val="00DE299C"/>
    <w:rsid w:val="00DE2D95"/>
    <w:rsid w:val="00DE2FCC"/>
    <w:rsid w:val="00DE301A"/>
    <w:rsid w:val="00DE363E"/>
    <w:rsid w:val="00DE389D"/>
    <w:rsid w:val="00DE38E0"/>
    <w:rsid w:val="00DE3CF6"/>
    <w:rsid w:val="00DE40EF"/>
    <w:rsid w:val="00DE453D"/>
    <w:rsid w:val="00DE4585"/>
    <w:rsid w:val="00DE473A"/>
    <w:rsid w:val="00DE4C28"/>
    <w:rsid w:val="00DE4C52"/>
    <w:rsid w:val="00DE529F"/>
    <w:rsid w:val="00DE53CB"/>
    <w:rsid w:val="00DE5401"/>
    <w:rsid w:val="00DE555C"/>
    <w:rsid w:val="00DE5633"/>
    <w:rsid w:val="00DE5B1B"/>
    <w:rsid w:val="00DE5D42"/>
    <w:rsid w:val="00DE5F38"/>
    <w:rsid w:val="00DE609C"/>
    <w:rsid w:val="00DE6120"/>
    <w:rsid w:val="00DE61B7"/>
    <w:rsid w:val="00DE643F"/>
    <w:rsid w:val="00DE649B"/>
    <w:rsid w:val="00DE6854"/>
    <w:rsid w:val="00DE6E4A"/>
    <w:rsid w:val="00DE7933"/>
    <w:rsid w:val="00DE7A46"/>
    <w:rsid w:val="00DE7B28"/>
    <w:rsid w:val="00DE7C1B"/>
    <w:rsid w:val="00DF0215"/>
    <w:rsid w:val="00DF055A"/>
    <w:rsid w:val="00DF0874"/>
    <w:rsid w:val="00DF0BE6"/>
    <w:rsid w:val="00DF150B"/>
    <w:rsid w:val="00DF1587"/>
    <w:rsid w:val="00DF16CB"/>
    <w:rsid w:val="00DF17B3"/>
    <w:rsid w:val="00DF185A"/>
    <w:rsid w:val="00DF1865"/>
    <w:rsid w:val="00DF1A10"/>
    <w:rsid w:val="00DF1ABE"/>
    <w:rsid w:val="00DF1E91"/>
    <w:rsid w:val="00DF2235"/>
    <w:rsid w:val="00DF2279"/>
    <w:rsid w:val="00DF2355"/>
    <w:rsid w:val="00DF2551"/>
    <w:rsid w:val="00DF255E"/>
    <w:rsid w:val="00DF25C2"/>
    <w:rsid w:val="00DF25EB"/>
    <w:rsid w:val="00DF2830"/>
    <w:rsid w:val="00DF31E0"/>
    <w:rsid w:val="00DF3705"/>
    <w:rsid w:val="00DF389B"/>
    <w:rsid w:val="00DF3B27"/>
    <w:rsid w:val="00DF3B48"/>
    <w:rsid w:val="00DF3CCA"/>
    <w:rsid w:val="00DF3D30"/>
    <w:rsid w:val="00DF4108"/>
    <w:rsid w:val="00DF419B"/>
    <w:rsid w:val="00DF436B"/>
    <w:rsid w:val="00DF4571"/>
    <w:rsid w:val="00DF4B2E"/>
    <w:rsid w:val="00DF4B4A"/>
    <w:rsid w:val="00DF4F2C"/>
    <w:rsid w:val="00DF53E2"/>
    <w:rsid w:val="00DF5741"/>
    <w:rsid w:val="00DF57D2"/>
    <w:rsid w:val="00DF5919"/>
    <w:rsid w:val="00DF5998"/>
    <w:rsid w:val="00DF5B24"/>
    <w:rsid w:val="00DF5C8C"/>
    <w:rsid w:val="00DF5CE7"/>
    <w:rsid w:val="00DF5DE5"/>
    <w:rsid w:val="00DF65E4"/>
    <w:rsid w:val="00DF6FB8"/>
    <w:rsid w:val="00DF6FE5"/>
    <w:rsid w:val="00DF752C"/>
    <w:rsid w:val="00DF766B"/>
    <w:rsid w:val="00DF78E4"/>
    <w:rsid w:val="00DF79B5"/>
    <w:rsid w:val="00DF7A03"/>
    <w:rsid w:val="00DF7B66"/>
    <w:rsid w:val="00DF7BF1"/>
    <w:rsid w:val="00DF7CFE"/>
    <w:rsid w:val="00DF7F4D"/>
    <w:rsid w:val="00E0003B"/>
    <w:rsid w:val="00E0021F"/>
    <w:rsid w:val="00E0040F"/>
    <w:rsid w:val="00E00D4A"/>
    <w:rsid w:val="00E00FD2"/>
    <w:rsid w:val="00E014A8"/>
    <w:rsid w:val="00E01731"/>
    <w:rsid w:val="00E01784"/>
    <w:rsid w:val="00E0199E"/>
    <w:rsid w:val="00E01A0B"/>
    <w:rsid w:val="00E01AB8"/>
    <w:rsid w:val="00E01B0F"/>
    <w:rsid w:val="00E01C4A"/>
    <w:rsid w:val="00E01F70"/>
    <w:rsid w:val="00E021A5"/>
    <w:rsid w:val="00E02460"/>
    <w:rsid w:val="00E02511"/>
    <w:rsid w:val="00E026A3"/>
    <w:rsid w:val="00E02CDC"/>
    <w:rsid w:val="00E02DC0"/>
    <w:rsid w:val="00E033A5"/>
    <w:rsid w:val="00E03548"/>
    <w:rsid w:val="00E03C5C"/>
    <w:rsid w:val="00E03E3E"/>
    <w:rsid w:val="00E03E40"/>
    <w:rsid w:val="00E03ED1"/>
    <w:rsid w:val="00E04124"/>
    <w:rsid w:val="00E04236"/>
    <w:rsid w:val="00E04839"/>
    <w:rsid w:val="00E04AC7"/>
    <w:rsid w:val="00E04BEB"/>
    <w:rsid w:val="00E0523A"/>
    <w:rsid w:val="00E055C1"/>
    <w:rsid w:val="00E057D8"/>
    <w:rsid w:val="00E05824"/>
    <w:rsid w:val="00E05841"/>
    <w:rsid w:val="00E058A7"/>
    <w:rsid w:val="00E058DC"/>
    <w:rsid w:val="00E05ED8"/>
    <w:rsid w:val="00E06092"/>
    <w:rsid w:val="00E0639D"/>
    <w:rsid w:val="00E0664D"/>
    <w:rsid w:val="00E06778"/>
    <w:rsid w:val="00E067A5"/>
    <w:rsid w:val="00E06868"/>
    <w:rsid w:val="00E06A37"/>
    <w:rsid w:val="00E06BA6"/>
    <w:rsid w:val="00E06DB6"/>
    <w:rsid w:val="00E06DF6"/>
    <w:rsid w:val="00E07366"/>
    <w:rsid w:val="00E07D30"/>
    <w:rsid w:val="00E100A6"/>
    <w:rsid w:val="00E10680"/>
    <w:rsid w:val="00E10755"/>
    <w:rsid w:val="00E1081E"/>
    <w:rsid w:val="00E10D7A"/>
    <w:rsid w:val="00E10E1F"/>
    <w:rsid w:val="00E1101F"/>
    <w:rsid w:val="00E11387"/>
    <w:rsid w:val="00E11656"/>
    <w:rsid w:val="00E116D8"/>
    <w:rsid w:val="00E11A53"/>
    <w:rsid w:val="00E11E0F"/>
    <w:rsid w:val="00E11EBA"/>
    <w:rsid w:val="00E12787"/>
    <w:rsid w:val="00E127FE"/>
    <w:rsid w:val="00E12A4B"/>
    <w:rsid w:val="00E12B3A"/>
    <w:rsid w:val="00E12C5E"/>
    <w:rsid w:val="00E12D6D"/>
    <w:rsid w:val="00E12DDF"/>
    <w:rsid w:val="00E12F19"/>
    <w:rsid w:val="00E13011"/>
    <w:rsid w:val="00E130CC"/>
    <w:rsid w:val="00E13291"/>
    <w:rsid w:val="00E132CC"/>
    <w:rsid w:val="00E135E2"/>
    <w:rsid w:val="00E1399A"/>
    <w:rsid w:val="00E13BE4"/>
    <w:rsid w:val="00E13C1D"/>
    <w:rsid w:val="00E13CE6"/>
    <w:rsid w:val="00E13E85"/>
    <w:rsid w:val="00E14278"/>
    <w:rsid w:val="00E14784"/>
    <w:rsid w:val="00E14919"/>
    <w:rsid w:val="00E15B30"/>
    <w:rsid w:val="00E15C43"/>
    <w:rsid w:val="00E15F6A"/>
    <w:rsid w:val="00E1643E"/>
    <w:rsid w:val="00E166B9"/>
    <w:rsid w:val="00E16A36"/>
    <w:rsid w:val="00E16C20"/>
    <w:rsid w:val="00E16C5C"/>
    <w:rsid w:val="00E16FCB"/>
    <w:rsid w:val="00E17010"/>
    <w:rsid w:val="00E1753C"/>
    <w:rsid w:val="00E17661"/>
    <w:rsid w:val="00E177EA"/>
    <w:rsid w:val="00E17A52"/>
    <w:rsid w:val="00E200D2"/>
    <w:rsid w:val="00E200E9"/>
    <w:rsid w:val="00E200ED"/>
    <w:rsid w:val="00E20761"/>
    <w:rsid w:val="00E20989"/>
    <w:rsid w:val="00E20C4C"/>
    <w:rsid w:val="00E20E56"/>
    <w:rsid w:val="00E21B60"/>
    <w:rsid w:val="00E22020"/>
    <w:rsid w:val="00E221BE"/>
    <w:rsid w:val="00E22251"/>
    <w:rsid w:val="00E22343"/>
    <w:rsid w:val="00E22390"/>
    <w:rsid w:val="00E2243D"/>
    <w:rsid w:val="00E2250B"/>
    <w:rsid w:val="00E226B6"/>
    <w:rsid w:val="00E22957"/>
    <w:rsid w:val="00E22D30"/>
    <w:rsid w:val="00E2307A"/>
    <w:rsid w:val="00E2311E"/>
    <w:rsid w:val="00E2319C"/>
    <w:rsid w:val="00E232F6"/>
    <w:rsid w:val="00E235C6"/>
    <w:rsid w:val="00E23627"/>
    <w:rsid w:val="00E23FFC"/>
    <w:rsid w:val="00E24103"/>
    <w:rsid w:val="00E241E6"/>
    <w:rsid w:val="00E241FF"/>
    <w:rsid w:val="00E2423E"/>
    <w:rsid w:val="00E24607"/>
    <w:rsid w:val="00E2488E"/>
    <w:rsid w:val="00E24BF8"/>
    <w:rsid w:val="00E24D34"/>
    <w:rsid w:val="00E24EFB"/>
    <w:rsid w:val="00E24FAC"/>
    <w:rsid w:val="00E25088"/>
    <w:rsid w:val="00E25238"/>
    <w:rsid w:val="00E25534"/>
    <w:rsid w:val="00E255BB"/>
    <w:rsid w:val="00E25653"/>
    <w:rsid w:val="00E2574A"/>
    <w:rsid w:val="00E25DBE"/>
    <w:rsid w:val="00E25E98"/>
    <w:rsid w:val="00E26164"/>
    <w:rsid w:val="00E2630C"/>
    <w:rsid w:val="00E26521"/>
    <w:rsid w:val="00E267B2"/>
    <w:rsid w:val="00E26AC6"/>
    <w:rsid w:val="00E26B11"/>
    <w:rsid w:val="00E26C45"/>
    <w:rsid w:val="00E271DB"/>
    <w:rsid w:val="00E2735B"/>
    <w:rsid w:val="00E27761"/>
    <w:rsid w:val="00E279A2"/>
    <w:rsid w:val="00E27B57"/>
    <w:rsid w:val="00E27C51"/>
    <w:rsid w:val="00E3003F"/>
    <w:rsid w:val="00E30E39"/>
    <w:rsid w:val="00E311C7"/>
    <w:rsid w:val="00E313F1"/>
    <w:rsid w:val="00E31583"/>
    <w:rsid w:val="00E315F3"/>
    <w:rsid w:val="00E31A1A"/>
    <w:rsid w:val="00E31C23"/>
    <w:rsid w:val="00E31DE6"/>
    <w:rsid w:val="00E31FE3"/>
    <w:rsid w:val="00E3251D"/>
    <w:rsid w:val="00E326F8"/>
    <w:rsid w:val="00E32A5F"/>
    <w:rsid w:val="00E32A7B"/>
    <w:rsid w:val="00E32D39"/>
    <w:rsid w:val="00E32E5E"/>
    <w:rsid w:val="00E3308C"/>
    <w:rsid w:val="00E331E9"/>
    <w:rsid w:val="00E333C7"/>
    <w:rsid w:val="00E335D9"/>
    <w:rsid w:val="00E33691"/>
    <w:rsid w:val="00E336FD"/>
    <w:rsid w:val="00E338A8"/>
    <w:rsid w:val="00E338AE"/>
    <w:rsid w:val="00E33A78"/>
    <w:rsid w:val="00E3409C"/>
    <w:rsid w:val="00E34636"/>
    <w:rsid w:val="00E3475D"/>
    <w:rsid w:val="00E347A8"/>
    <w:rsid w:val="00E34A14"/>
    <w:rsid w:val="00E34CAE"/>
    <w:rsid w:val="00E350C4"/>
    <w:rsid w:val="00E35985"/>
    <w:rsid w:val="00E35D03"/>
    <w:rsid w:val="00E35D10"/>
    <w:rsid w:val="00E35E68"/>
    <w:rsid w:val="00E36026"/>
    <w:rsid w:val="00E36298"/>
    <w:rsid w:val="00E366C8"/>
    <w:rsid w:val="00E36D74"/>
    <w:rsid w:val="00E36D8D"/>
    <w:rsid w:val="00E36E84"/>
    <w:rsid w:val="00E36EB1"/>
    <w:rsid w:val="00E36EC3"/>
    <w:rsid w:val="00E37384"/>
    <w:rsid w:val="00E37623"/>
    <w:rsid w:val="00E37CAB"/>
    <w:rsid w:val="00E37D05"/>
    <w:rsid w:val="00E37E67"/>
    <w:rsid w:val="00E401B0"/>
    <w:rsid w:val="00E403C9"/>
    <w:rsid w:val="00E403EC"/>
    <w:rsid w:val="00E4041E"/>
    <w:rsid w:val="00E407C4"/>
    <w:rsid w:val="00E40A20"/>
    <w:rsid w:val="00E41556"/>
    <w:rsid w:val="00E41A15"/>
    <w:rsid w:val="00E41E96"/>
    <w:rsid w:val="00E42051"/>
    <w:rsid w:val="00E4276F"/>
    <w:rsid w:val="00E42927"/>
    <w:rsid w:val="00E4294D"/>
    <w:rsid w:val="00E42BEF"/>
    <w:rsid w:val="00E42D30"/>
    <w:rsid w:val="00E43665"/>
    <w:rsid w:val="00E43F41"/>
    <w:rsid w:val="00E43F99"/>
    <w:rsid w:val="00E440C3"/>
    <w:rsid w:val="00E4418F"/>
    <w:rsid w:val="00E44352"/>
    <w:rsid w:val="00E4468E"/>
    <w:rsid w:val="00E44859"/>
    <w:rsid w:val="00E448F2"/>
    <w:rsid w:val="00E4499A"/>
    <w:rsid w:val="00E44A24"/>
    <w:rsid w:val="00E44BE5"/>
    <w:rsid w:val="00E44D80"/>
    <w:rsid w:val="00E4554B"/>
    <w:rsid w:val="00E45642"/>
    <w:rsid w:val="00E4597C"/>
    <w:rsid w:val="00E45B40"/>
    <w:rsid w:val="00E45F41"/>
    <w:rsid w:val="00E46048"/>
    <w:rsid w:val="00E4604D"/>
    <w:rsid w:val="00E46276"/>
    <w:rsid w:val="00E468A4"/>
    <w:rsid w:val="00E469FF"/>
    <w:rsid w:val="00E46AD8"/>
    <w:rsid w:val="00E46C02"/>
    <w:rsid w:val="00E4743F"/>
    <w:rsid w:val="00E47AF9"/>
    <w:rsid w:val="00E501D4"/>
    <w:rsid w:val="00E5043D"/>
    <w:rsid w:val="00E50533"/>
    <w:rsid w:val="00E507C3"/>
    <w:rsid w:val="00E50A5A"/>
    <w:rsid w:val="00E50B8C"/>
    <w:rsid w:val="00E50BCC"/>
    <w:rsid w:val="00E514D6"/>
    <w:rsid w:val="00E51E25"/>
    <w:rsid w:val="00E51FB2"/>
    <w:rsid w:val="00E52228"/>
    <w:rsid w:val="00E52905"/>
    <w:rsid w:val="00E52A09"/>
    <w:rsid w:val="00E52ABE"/>
    <w:rsid w:val="00E52C12"/>
    <w:rsid w:val="00E530CF"/>
    <w:rsid w:val="00E531B4"/>
    <w:rsid w:val="00E5341E"/>
    <w:rsid w:val="00E53564"/>
    <w:rsid w:val="00E53929"/>
    <w:rsid w:val="00E53E4F"/>
    <w:rsid w:val="00E53E71"/>
    <w:rsid w:val="00E5436F"/>
    <w:rsid w:val="00E546D2"/>
    <w:rsid w:val="00E547A8"/>
    <w:rsid w:val="00E548E5"/>
    <w:rsid w:val="00E54B1B"/>
    <w:rsid w:val="00E54B1E"/>
    <w:rsid w:val="00E54E88"/>
    <w:rsid w:val="00E550F8"/>
    <w:rsid w:val="00E55128"/>
    <w:rsid w:val="00E5518F"/>
    <w:rsid w:val="00E55543"/>
    <w:rsid w:val="00E55616"/>
    <w:rsid w:val="00E5591D"/>
    <w:rsid w:val="00E55951"/>
    <w:rsid w:val="00E55D8C"/>
    <w:rsid w:val="00E56760"/>
    <w:rsid w:val="00E56A33"/>
    <w:rsid w:val="00E56B0E"/>
    <w:rsid w:val="00E56BF7"/>
    <w:rsid w:val="00E56C71"/>
    <w:rsid w:val="00E56F69"/>
    <w:rsid w:val="00E5732F"/>
    <w:rsid w:val="00E573A4"/>
    <w:rsid w:val="00E57665"/>
    <w:rsid w:val="00E57B77"/>
    <w:rsid w:val="00E57FDF"/>
    <w:rsid w:val="00E6008F"/>
    <w:rsid w:val="00E6026E"/>
    <w:rsid w:val="00E6086C"/>
    <w:rsid w:val="00E6090D"/>
    <w:rsid w:val="00E60B3B"/>
    <w:rsid w:val="00E60BBB"/>
    <w:rsid w:val="00E60E19"/>
    <w:rsid w:val="00E610E2"/>
    <w:rsid w:val="00E618CD"/>
    <w:rsid w:val="00E61B16"/>
    <w:rsid w:val="00E61BA7"/>
    <w:rsid w:val="00E61CC5"/>
    <w:rsid w:val="00E621D9"/>
    <w:rsid w:val="00E626CC"/>
    <w:rsid w:val="00E62903"/>
    <w:rsid w:val="00E62B28"/>
    <w:rsid w:val="00E62B76"/>
    <w:rsid w:val="00E62F8C"/>
    <w:rsid w:val="00E62F8E"/>
    <w:rsid w:val="00E63015"/>
    <w:rsid w:val="00E630FB"/>
    <w:rsid w:val="00E63690"/>
    <w:rsid w:val="00E63836"/>
    <w:rsid w:val="00E63874"/>
    <w:rsid w:val="00E63CE8"/>
    <w:rsid w:val="00E63D74"/>
    <w:rsid w:val="00E64490"/>
    <w:rsid w:val="00E6486D"/>
    <w:rsid w:val="00E64C17"/>
    <w:rsid w:val="00E64CEE"/>
    <w:rsid w:val="00E64FBF"/>
    <w:rsid w:val="00E652AC"/>
    <w:rsid w:val="00E65541"/>
    <w:rsid w:val="00E65670"/>
    <w:rsid w:val="00E6575B"/>
    <w:rsid w:val="00E657D7"/>
    <w:rsid w:val="00E65B65"/>
    <w:rsid w:val="00E65BBA"/>
    <w:rsid w:val="00E66260"/>
    <w:rsid w:val="00E66350"/>
    <w:rsid w:val="00E66B76"/>
    <w:rsid w:val="00E66BB7"/>
    <w:rsid w:val="00E672E2"/>
    <w:rsid w:val="00E676DE"/>
    <w:rsid w:val="00E67FBC"/>
    <w:rsid w:val="00E67FDE"/>
    <w:rsid w:val="00E700BC"/>
    <w:rsid w:val="00E7083C"/>
    <w:rsid w:val="00E7091C"/>
    <w:rsid w:val="00E71459"/>
    <w:rsid w:val="00E7176F"/>
    <w:rsid w:val="00E71946"/>
    <w:rsid w:val="00E71C4D"/>
    <w:rsid w:val="00E7202F"/>
    <w:rsid w:val="00E725B7"/>
    <w:rsid w:val="00E728C5"/>
    <w:rsid w:val="00E72C93"/>
    <w:rsid w:val="00E72F14"/>
    <w:rsid w:val="00E73151"/>
    <w:rsid w:val="00E73207"/>
    <w:rsid w:val="00E73351"/>
    <w:rsid w:val="00E73685"/>
    <w:rsid w:val="00E737FC"/>
    <w:rsid w:val="00E7391C"/>
    <w:rsid w:val="00E73A0D"/>
    <w:rsid w:val="00E73A2D"/>
    <w:rsid w:val="00E73DFD"/>
    <w:rsid w:val="00E73E85"/>
    <w:rsid w:val="00E740B1"/>
    <w:rsid w:val="00E7466C"/>
    <w:rsid w:val="00E7495B"/>
    <w:rsid w:val="00E74B49"/>
    <w:rsid w:val="00E750BF"/>
    <w:rsid w:val="00E752D3"/>
    <w:rsid w:val="00E75536"/>
    <w:rsid w:val="00E75683"/>
    <w:rsid w:val="00E75A95"/>
    <w:rsid w:val="00E760D9"/>
    <w:rsid w:val="00E767CB"/>
    <w:rsid w:val="00E76837"/>
    <w:rsid w:val="00E76922"/>
    <w:rsid w:val="00E77374"/>
    <w:rsid w:val="00E7749A"/>
    <w:rsid w:val="00E77F54"/>
    <w:rsid w:val="00E805A1"/>
    <w:rsid w:val="00E81C48"/>
    <w:rsid w:val="00E81D5A"/>
    <w:rsid w:val="00E820F5"/>
    <w:rsid w:val="00E82103"/>
    <w:rsid w:val="00E826CA"/>
    <w:rsid w:val="00E827EB"/>
    <w:rsid w:val="00E82D8B"/>
    <w:rsid w:val="00E8373C"/>
    <w:rsid w:val="00E83B7A"/>
    <w:rsid w:val="00E84271"/>
    <w:rsid w:val="00E8437B"/>
    <w:rsid w:val="00E847C7"/>
    <w:rsid w:val="00E849E1"/>
    <w:rsid w:val="00E84E71"/>
    <w:rsid w:val="00E84F18"/>
    <w:rsid w:val="00E8507C"/>
    <w:rsid w:val="00E85721"/>
    <w:rsid w:val="00E85757"/>
    <w:rsid w:val="00E85B19"/>
    <w:rsid w:val="00E85FC1"/>
    <w:rsid w:val="00E862A5"/>
    <w:rsid w:val="00E864F1"/>
    <w:rsid w:val="00E86572"/>
    <w:rsid w:val="00E866E7"/>
    <w:rsid w:val="00E86955"/>
    <w:rsid w:val="00E86BEA"/>
    <w:rsid w:val="00E86D01"/>
    <w:rsid w:val="00E8733C"/>
    <w:rsid w:val="00E874CF"/>
    <w:rsid w:val="00E87508"/>
    <w:rsid w:val="00E8778F"/>
    <w:rsid w:val="00E87849"/>
    <w:rsid w:val="00E878EF"/>
    <w:rsid w:val="00E87A10"/>
    <w:rsid w:val="00E87B3A"/>
    <w:rsid w:val="00E87D53"/>
    <w:rsid w:val="00E90142"/>
    <w:rsid w:val="00E90534"/>
    <w:rsid w:val="00E908A0"/>
    <w:rsid w:val="00E909E1"/>
    <w:rsid w:val="00E90F13"/>
    <w:rsid w:val="00E90FB0"/>
    <w:rsid w:val="00E9102E"/>
    <w:rsid w:val="00E91112"/>
    <w:rsid w:val="00E91444"/>
    <w:rsid w:val="00E91537"/>
    <w:rsid w:val="00E915EF"/>
    <w:rsid w:val="00E916D6"/>
    <w:rsid w:val="00E91706"/>
    <w:rsid w:val="00E91EC7"/>
    <w:rsid w:val="00E92354"/>
    <w:rsid w:val="00E9252A"/>
    <w:rsid w:val="00E9281F"/>
    <w:rsid w:val="00E929A5"/>
    <w:rsid w:val="00E929DA"/>
    <w:rsid w:val="00E92B49"/>
    <w:rsid w:val="00E92F81"/>
    <w:rsid w:val="00E92FB8"/>
    <w:rsid w:val="00E93316"/>
    <w:rsid w:val="00E93483"/>
    <w:rsid w:val="00E93C3F"/>
    <w:rsid w:val="00E940B8"/>
    <w:rsid w:val="00E941B6"/>
    <w:rsid w:val="00E946B2"/>
    <w:rsid w:val="00E95289"/>
    <w:rsid w:val="00E95527"/>
    <w:rsid w:val="00E959CE"/>
    <w:rsid w:val="00E95AB1"/>
    <w:rsid w:val="00E95B03"/>
    <w:rsid w:val="00E95F93"/>
    <w:rsid w:val="00E961CC"/>
    <w:rsid w:val="00E96C91"/>
    <w:rsid w:val="00E96E83"/>
    <w:rsid w:val="00E96F72"/>
    <w:rsid w:val="00E97470"/>
    <w:rsid w:val="00E97644"/>
    <w:rsid w:val="00E97645"/>
    <w:rsid w:val="00E9768D"/>
    <w:rsid w:val="00E97721"/>
    <w:rsid w:val="00E978D8"/>
    <w:rsid w:val="00E97EF9"/>
    <w:rsid w:val="00EA03A0"/>
    <w:rsid w:val="00EA0652"/>
    <w:rsid w:val="00EA072A"/>
    <w:rsid w:val="00EA0781"/>
    <w:rsid w:val="00EA07B7"/>
    <w:rsid w:val="00EA087D"/>
    <w:rsid w:val="00EA096C"/>
    <w:rsid w:val="00EA0DF2"/>
    <w:rsid w:val="00EA0E51"/>
    <w:rsid w:val="00EA0F9D"/>
    <w:rsid w:val="00EA1288"/>
    <w:rsid w:val="00EA14C3"/>
    <w:rsid w:val="00EA1946"/>
    <w:rsid w:val="00EA19BE"/>
    <w:rsid w:val="00EA1A03"/>
    <w:rsid w:val="00EA1D27"/>
    <w:rsid w:val="00EA1ED1"/>
    <w:rsid w:val="00EA22A8"/>
    <w:rsid w:val="00EA23DB"/>
    <w:rsid w:val="00EA2474"/>
    <w:rsid w:val="00EA26DB"/>
    <w:rsid w:val="00EA286F"/>
    <w:rsid w:val="00EA2D36"/>
    <w:rsid w:val="00EA2E17"/>
    <w:rsid w:val="00EA3083"/>
    <w:rsid w:val="00EA3130"/>
    <w:rsid w:val="00EA35E9"/>
    <w:rsid w:val="00EA374F"/>
    <w:rsid w:val="00EA391E"/>
    <w:rsid w:val="00EA3B5D"/>
    <w:rsid w:val="00EA3C7E"/>
    <w:rsid w:val="00EA4169"/>
    <w:rsid w:val="00EA419E"/>
    <w:rsid w:val="00EA446E"/>
    <w:rsid w:val="00EA45EA"/>
    <w:rsid w:val="00EA47EF"/>
    <w:rsid w:val="00EA4D6D"/>
    <w:rsid w:val="00EA526D"/>
    <w:rsid w:val="00EA5287"/>
    <w:rsid w:val="00EA52F3"/>
    <w:rsid w:val="00EA5898"/>
    <w:rsid w:val="00EA59D2"/>
    <w:rsid w:val="00EA5B02"/>
    <w:rsid w:val="00EA5B61"/>
    <w:rsid w:val="00EA5D58"/>
    <w:rsid w:val="00EA6081"/>
    <w:rsid w:val="00EA64EA"/>
    <w:rsid w:val="00EA6883"/>
    <w:rsid w:val="00EA6A58"/>
    <w:rsid w:val="00EA6B7E"/>
    <w:rsid w:val="00EA70DD"/>
    <w:rsid w:val="00EA72B7"/>
    <w:rsid w:val="00EA7565"/>
    <w:rsid w:val="00EA7715"/>
    <w:rsid w:val="00EA7996"/>
    <w:rsid w:val="00EA7A21"/>
    <w:rsid w:val="00EA7D21"/>
    <w:rsid w:val="00EA7D2B"/>
    <w:rsid w:val="00EB0301"/>
    <w:rsid w:val="00EB0428"/>
    <w:rsid w:val="00EB04F8"/>
    <w:rsid w:val="00EB07AC"/>
    <w:rsid w:val="00EB0961"/>
    <w:rsid w:val="00EB0C43"/>
    <w:rsid w:val="00EB0D15"/>
    <w:rsid w:val="00EB0D58"/>
    <w:rsid w:val="00EB0F14"/>
    <w:rsid w:val="00EB1540"/>
    <w:rsid w:val="00EB16BF"/>
    <w:rsid w:val="00EB1B20"/>
    <w:rsid w:val="00EB1B28"/>
    <w:rsid w:val="00EB1C21"/>
    <w:rsid w:val="00EB2729"/>
    <w:rsid w:val="00EB2B95"/>
    <w:rsid w:val="00EB2DFC"/>
    <w:rsid w:val="00EB3564"/>
    <w:rsid w:val="00EB3608"/>
    <w:rsid w:val="00EB36EA"/>
    <w:rsid w:val="00EB3801"/>
    <w:rsid w:val="00EB3908"/>
    <w:rsid w:val="00EB3978"/>
    <w:rsid w:val="00EB3F23"/>
    <w:rsid w:val="00EB4042"/>
    <w:rsid w:val="00EB40E3"/>
    <w:rsid w:val="00EB42B2"/>
    <w:rsid w:val="00EB4387"/>
    <w:rsid w:val="00EB43E0"/>
    <w:rsid w:val="00EB43F1"/>
    <w:rsid w:val="00EB4A59"/>
    <w:rsid w:val="00EB4ACB"/>
    <w:rsid w:val="00EB4E2F"/>
    <w:rsid w:val="00EB4F6D"/>
    <w:rsid w:val="00EB540A"/>
    <w:rsid w:val="00EB57AF"/>
    <w:rsid w:val="00EB5C05"/>
    <w:rsid w:val="00EB5D9D"/>
    <w:rsid w:val="00EB6724"/>
    <w:rsid w:val="00EB6A1D"/>
    <w:rsid w:val="00EB778E"/>
    <w:rsid w:val="00EB77CF"/>
    <w:rsid w:val="00EB7905"/>
    <w:rsid w:val="00EB7A48"/>
    <w:rsid w:val="00EB7C97"/>
    <w:rsid w:val="00EC004D"/>
    <w:rsid w:val="00EC00DD"/>
    <w:rsid w:val="00EC0201"/>
    <w:rsid w:val="00EC0362"/>
    <w:rsid w:val="00EC1201"/>
    <w:rsid w:val="00EC13CB"/>
    <w:rsid w:val="00EC1568"/>
    <w:rsid w:val="00EC15C5"/>
    <w:rsid w:val="00EC1941"/>
    <w:rsid w:val="00EC1DDE"/>
    <w:rsid w:val="00EC1EFB"/>
    <w:rsid w:val="00EC24A6"/>
    <w:rsid w:val="00EC254D"/>
    <w:rsid w:val="00EC2621"/>
    <w:rsid w:val="00EC2665"/>
    <w:rsid w:val="00EC28B4"/>
    <w:rsid w:val="00EC28F6"/>
    <w:rsid w:val="00EC2E1B"/>
    <w:rsid w:val="00EC2E45"/>
    <w:rsid w:val="00EC2E52"/>
    <w:rsid w:val="00EC306C"/>
    <w:rsid w:val="00EC3070"/>
    <w:rsid w:val="00EC35C8"/>
    <w:rsid w:val="00EC3A1C"/>
    <w:rsid w:val="00EC3AC6"/>
    <w:rsid w:val="00EC3C4F"/>
    <w:rsid w:val="00EC3D31"/>
    <w:rsid w:val="00EC3D52"/>
    <w:rsid w:val="00EC49AD"/>
    <w:rsid w:val="00EC4A7C"/>
    <w:rsid w:val="00EC4CC9"/>
    <w:rsid w:val="00EC5301"/>
    <w:rsid w:val="00EC5477"/>
    <w:rsid w:val="00EC559C"/>
    <w:rsid w:val="00EC5C7B"/>
    <w:rsid w:val="00EC5D35"/>
    <w:rsid w:val="00EC66DC"/>
    <w:rsid w:val="00EC692D"/>
    <w:rsid w:val="00EC6988"/>
    <w:rsid w:val="00EC6B92"/>
    <w:rsid w:val="00EC6DD0"/>
    <w:rsid w:val="00EC6F4E"/>
    <w:rsid w:val="00EC706C"/>
    <w:rsid w:val="00EC75AA"/>
    <w:rsid w:val="00EC7E4E"/>
    <w:rsid w:val="00ED0084"/>
    <w:rsid w:val="00ED029B"/>
    <w:rsid w:val="00ED0592"/>
    <w:rsid w:val="00ED089D"/>
    <w:rsid w:val="00ED0AF1"/>
    <w:rsid w:val="00ED0CE9"/>
    <w:rsid w:val="00ED0ED1"/>
    <w:rsid w:val="00ED0EDA"/>
    <w:rsid w:val="00ED0FDA"/>
    <w:rsid w:val="00ED13CA"/>
    <w:rsid w:val="00ED1B7E"/>
    <w:rsid w:val="00ED1DB5"/>
    <w:rsid w:val="00ED1E10"/>
    <w:rsid w:val="00ED1F56"/>
    <w:rsid w:val="00ED2182"/>
    <w:rsid w:val="00ED2462"/>
    <w:rsid w:val="00ED285D"/>
    <w:rsid w:val="00ED28DF"/>
    <w:rsid w:val="00ED29F4"/>
    <w:rsid w:val="00ED29FE"/>
    <w:rsid w:val="00ED2B05"/>
    <w:rsid w:val="00ED2ED0"/>
    <w:rsid w:val="00ED2F33"/>
    <w:rsid w:val="00ED3714"/>
    <w:rsid w:val="00ED37A4"/>
    <w:rsid w:val="00ED3BF4"/>
    <w:rsid w:val="00ED3C72"/>
    <w:rsid w:val="00ED3CBB"/>
    <w:rsid w:val="00ED3D9B"/>
    <w:rsid w:val="00ED3ED6"/>
    <w:rsid w:val="00ED42B3"/>
    <w:rsid w:val="00ED42E3"/>
    <w:rsid w:val="00ED43F9"/>
    <w:rsid w:val="00ED45EB"/>
    <w:rsid w:val="00ED47E8"/>
    <w:rsid w:val="00ED4B30"/>
    <w:rsid w:val="00ED502D"/>
    <w:rsid w:val="00ED522D"/>
    <w:rsid w:val="00ED542B"/>
    <w:rsid w:val="00ED5599"/>
    <w:rsid w:val="00ED5953"/>
    <w:rsid w:val="00ED5AC3"/>
    <w:rsid w:val="00ED5AD8"/>
    <w:rsid w:val="00ED5D2C"/>
    <w:rsid w:val="00ED5E8D"/>
    <w:rsid w:val="00ED5EAC"/>
    <w:rsid w:val="00ED6482"/>
    <w:rsid w:val="00ED66AD"/>
    <w:rsid w:val="00ED6766"/>
    <w:rsid w:val="00ED6B08"/>
    <w:rsid w:val="00ED6B10"/>
    <w:rsid w:val="00ED6E1A"/>
    <w:rsid w:val="00ED6FEC"/>
    <w:rsid w:val="00ED7973"/>
    <w:rsid w:val="00ED7B44"/>
    <w:rsid w:val="00ED7C24"/>
    <w:rsid w:val="00ED7E4E"/>
    <w:rsid w:val="00ED7E97"/>
    <w:rsid w:val="00EE0C09"/>
    <w:rsid w:val="00EE0D6A"/>
    <w:rsid w:val="00EE0DF8"/>
    <w:rsid w:val="00EE0F47"/>
    <w:rsid w:val="00EE1073"/>
    <w:rsid w:val="00EE10F6"/>
    <w:rsid w:val="00EE113E"/>
    <w:rsid w:val="00EE1173"/>
    <w:rsid w:val="00EE14B1"/>
    <w:rsid w:val="00EE1E54"/>
    <w:rsid w:val="00EE1E80"/>
    <w:rsid w:val="00EE1FAA"/>
    <w:rsid w:val="00EE203D"/>
    <w:rsid w:val="00EE2363"/>
    <w:rsid w:val="00EE28EF"/>
    <w:rsid w:val="00EE293E"/>
    <w:rsid w:val="00EE2974"/>
    <w:rsid w:val="00EE2DCF"/>
    <w:rsid w:val="00EE3022"/>
    <w:rsid w:val="00EE3370"/>
    <w:rsid w:val="00EE378C"/>
    <w:rsid w:val="00EE38AD"/>
    <w:rsid w:val="00EE3A1A"/>
    <w:rsid w:val="00EE3B40"/>
    <w:rsid w:val="00EE3CB2"/>
    <w:rsid w:val="00EE3DD0"/>
    <w:rsid w:val="00EE3EB6"/>
    <w:rsid w:val="00EE47F8"/>
    <w:rsid w:val="00EE4CE4"/>
    <w:rsid w:val="00EE4F5F"/>
    <w:rsid w:val="00EE4F69"/>
    <w:rsid w:val="00EE5005"/>
    <w:rsid w:val="00EE5836"/>
    <w:rsid w:val="00EE5A11"/>
    <w:rsid w:val="00EE5D4B"/>
    <w:rsid w:val="00EE5F07"/>
    <w:rsid w:val="00EE61B8"/>
    <w:rsid w:val="00EE6318"/>
    <w:rsid w:val="00EE634C"/>
    <w:rsid w:val="00EE66CA"/>
    <w:rsid w:val="00EE6775"/>
    <w:rsid w:val="00EE6AF9"/>
    <w:rsid w:val="00EE6DFD"/>
    <w:rsid w:val="00EE7665"/>
    <w:rsid w:val="00EE7835"/>
    <w:rsid w:val="00EE7908"/>
    <w:rsid w:val="00EE7E8A"/>
    <w:rsid w:val="00EE7EFA"/>
    <w:rsid w:val="00EE7F0E"/>
    <w:rsid w:val="00EEB18D"/>
    <w:rsid w:val="00EF01E4"/>
    <w:rsid w:val="00EF042D"/>
    <w:rsid w:val="00EF0502"/>
    <w:rsid w:val="00EF0657"/>
    <w:rsid w:val="00EF06DA"/>
    <w:rsid w:val="00EF07FE"/>
    <w:rsid w:val="00EF0E84"/>
    <w:rsid w:val="00EF0F85"/>
    <w:rsid w:val="00EF127E"/>
    <w:rsid w:val="00EF1532"/>
    <w:rsid w:val="00EF174B"/>
    <w:rsid w:val="00EF17C4"/>
    <w:rsid w:val="00EF1AA8"/>
    <w:rsid w:val="00EF1B1B"/>
    <w:rsid w:val="00EF1D1F"/>
    <w:rsid w:val="00EF1D77"/>
    <w:rsid w:val="00EF2013"/>
    <w:rsid w:val="00EF245A"/>
    <w:rsid w:val="00EF2504"/>
    <w:rsid w:val="00EF268B"/>
    <w:rsid w:val="00EF2B6A"/>
    <w:rsid w:val="00EF2B7F"/>
    <w:rsid w:val="00EF3291"/>
    <w:rsid w:val="00EF3776"/>
    <w:rsid w:val="00EF382B"/>
    <w:rsid w:val="00EF38FA"/>
    <w:rsid w:val="00EF3B16"/>
    <w:rsid w:val="00EF3BC5"/>
    <w:rsid w:val="00EF40F4"/>
    <w:rsid w:val="00EF4427"/>
    <w:rsid w:val="00EF4444"/>
    <w:rsid w:val="00EF4523"/>
    <w:rsid w:val="00EF4586"/>
    <w:rsid w:val="00EF45D3"/>
    <w:rsid w:val="00EF477E"/>
    <w:rsid w:val="00EF47EC"/>
    <w:rsid w:val="00EF4C74"/>
    <w:rsid w:val="00EF527A"/>
    <w:rsid w:val="00EF54E0"/>
    <w:rsid w:val="00EF55A5"/>
    <w:rsid w:val="00EF57BE"/>
    <w:rsid w:val="00EF5B51"/>
    <w:rsid w:val="00EF5BC8"/>
    <w:rsid w:val="00EF6593"/>
    <w:rsid w:val="00EF6929"/>
    <w:rsid w:val="00EF6B19"/>
    <w:rsid w:val="00EF6F3E"/>
    <w:rsid w:val="00EF7063"/>
    <w:rsid w:val="00EF71E5"/>
    <w:rsid w:val="00EF726D"/>
    <w:rsid w:val="00EF7C95"/>
    <w:rsid w:val="00EF7ED5"/>
    <w:rsid w:val="00F000AF"/>
    <w:rsid w:val="00F002D7"/>
    <w:rsid w:val="00F006B3"/>
    <w:rsid w:val="00F00B2A"/>
    <w:rsid w:val="00F00EC2"/>
    <w:rsid w:val="00F0111A"/>
    <w:rsid w:val="00F0111D"/>
    <w:rsid w:val="00F01187"/>
    <w:rsid w:val="00F012C3"/>
    <w:rsid w:val="00F01CD3"/>
    <w:rsid w:val="00F01CFD"/>
    <w:rsid w:val="00F01E0C"/>
    <w:rsid w:val="00F01F6A"/>
    <w:rsid w:val="00F02BAB"/>
    <w:rsid w:val="00F02FBA"/>
    <w:rsid w:val="00F030B4"/>
    <w:rsid w:val="00F03380"/>
    <w:rsid w:val="00F033DE"/>
    <w:rsid w:val="00F03646"/>
    <w:rsid w:val="00F0364D"/>
    <w:rsid w:val="00F03A6B"/>
    <w:rsid w:val="00F03B6A"/>
    <w:rsid w:val="00F03B74"/>
    <w:rsid w:val="00F040CE"/>
    <w:rsid w:val="00F04D5C"/>
    <w:rsid w:val="00F0508C"/>
    <w:rsid w:val="00F05C7F"/>
    <w:rsid w:val="00F05DDC"/>
    <w:rsid w:val="00F061F2"/>
    <w:rsid w:val="00F0662C"/>
    <w:rsid w:val="00F06F8E"/>
    <w:rsid w:val="00F07016"/>
    <w:rsid w:val="00F07040"/>
    <w:rsid w:val="00F0741B"/>
    <w:rsid w:val="00F07E8D"/>
    <w:rsid w:val="00F101B0"/>
    <w:rsid w:val="00F10D6E"/>
    <w:rsid w:val="00F11337"/>
    <w:rsid w:val="00F1134C"/>
    <w:rsid w:val="00F11919"/>
    <w:rsid w:val="00F1222C"/>
    <w:rsid w:val="00F122B2"/>
    <w:rsid w:val="00F124DE"/>
    <w:rsid w:val="00F125F9"/>
    <w:rsid w:val="00F126B8"/>
    <w:rsid w:val="00F126CF"/>
    <w:rsid w:val="00F13313"/>
    <w:rsid w:val="00F136D4"/>
    <w:rsid w:val="00F136F9"/>
    <w:rsid w:val="00F13C43"/>
    <w:rsid w:val="00F13D5D"/>
    <w:rsid w:val="00F13FBA"/>
    <w:rsid w:val="00F14912"/>
    <w:rsid w:val="00F1534A"/>
    <w:rsid w:val="00F1544C"/>
    <w:rsid w:val="00F15553"/>
    <w:rsid w:val="00F1581D"/>
    <w:rsid w:val="00F1584D"/>
    <w:rsid w:val="00F15BA4"/>
    <w:rsid w:val="00F15C6D"/>
    <w:rsid w:val="00F160C8"/>
    <w:rsid w:val="00F161D0"/>
    <w:rsid w:val="00F16712"/>
    <w:rsid w:val="00F16A2E"/>
    <w:rsid w:val="00F16CA1"/>
    <w:rsid w:val="00F16DFD"/>
    <w:rsid w:val="00F17249"/>
    <w:rsid w:val="00F175B6"/>
    <w:rsid w:val="00F176B6"/>
    <w:rsid w:val="00F178D8"/>
    <w:rsid w:val="00F17958"/>
    <w:rsid w:val="00F17A39"/>
    <w:rsid w:val="00F17A9B"/>
    <w:rsid w:val="00F17BF7"/>
    <w:rsid w:val="00F203E1"/>
    <w:rsid w:val="00F20622"/>
    <w:rsid w:val="00F20A15"/>
    <w:rsid w:val="00F20A7B"/>
    <w:rsid w:val="00F20CCC"/>
    <w:rsid w:val="00F20D29"/>
    <w:rsid w:val="00F20DCA"/>
    <w:rsid w:val="00F212C6"/>
    <w:rsid w:val="00F212F8"/>
    <w:rsid w:val="00F213F0"/>
    <w:rsid w:val="00F218FC"/>
    <w:rsid w:val="00F21EE8"/>
    <w:rsid w:val="00F221C1"/>
    <w:rsid w:val="00F22442"/>
    <w:rsid w:val="00F22729"/>
    <w:rsid w:val="00F22A63"/>
    <w:rsid w:val="00F22B70"/>
    <w:rsid w:val="00F23380"/>
    <w:rsid w:val="00F23487"/>
    <w:rsid w:val="00F2350E"/>
    <w:rsid w:val="00F23562"/>
    <w:rsid w:val="00F23680"/>
    <w:rsid w:val="00F2374A"/>
    <w:rsid w:val="00F237BE"/>
    <w:rsid w:val="00F23B11"/>
    <w:rsid w:val="00F23DC3"/>
    <w:rsid w:val="00F242AC"/>
    <w:rsid w:val="00F24848"/>
    <w:rsid w:val="00F24971"/>
    <w:rsid w:val="00F24A63"/>
    <w:rsid w:val="00F24DD1"/>
    <w:rsid w:val="00F24F39"/>
    <w:rsid w:val="00F25263"/>
    <w:rsid w:val="00F25434"/>
    <w:rsid w:val="00F25448"/>
    <w:rsid w:val="00F25A4C"/>
    <w:rsid w:val="00F25B8C"/>
    <w:rsid w:val="00F25CFD"/>
    <w:rsid w:val="00F25DDA"/>
    <w:rsid w:val="00F25E47"/>
    <w:rsid w:val="00F262A6"/>
    <w:rsid w:val="00F266C6"/>
    <w:rsid w:val="00F26ED7"/>
    <w:rsid w:val="00F2709C"/>
    <w:rsid w:val="00F27489"/>
    <w:rsid w:val="00F2754A"/>
    <w:rsid w:val="00F278E0"/>
    <w:rsid w:val="00F27B35"/>
    <w:rsid w:val="00F27CA0"/>
    <w:rsid w:val="00F27D46"/>
    <w:rsid w:val="00F30240"/>
    <w:rsid w:val="00F3036F"/>
    <w:rsid w:val="00F3066E"/>
    <w:rsid w:val="00F3084B"/>
    <w:rsid w:val="00F30BCD"/>
    <w:rsid w:val="00F30F48"/>
    <w:rsid w:val="00F314FF"/>
    <w:rsid w:val="00F31AFA"/>
    <w:rsid w:val="00F31BAD"/>
    <w:rsid w:val="00F31FC6"/>
    <w:rsid w:val="00F323F4"/>
    <w:rsid w:val="00F32534"/>
    <w:rsid w:val="00F32ABB"/>
    <w:rsid w:val="00F33E17"/>
    <w:rsid w:val="00F341D4"/>
    <w:rsid w:val="00F3480A"/>
    <w:rsid w:val="00F34BD1"/>
    <w:rsid w:val="00F34C57"/>
    <w:rsid w:val="00F34D85"/>
    <w:rsid w:val="00F34FFB"/>
    <w:rsid w:val="00F350DC"/>
    <w:rsid w:val="00F3512A"/>
    <w:rsid w:val="00F3521D"/>
    <w:rsid w:val="00F359C3"/>
    <w:rsid w:val="00F35D46"/>
    <w:rsid w:val="00F35ED7"/>
    <w:rsid w:val="00F36140"/>
    <w:rsid w:val="00F36334"/>
    <w:rsid w:val="00F365FB"/>
    <w:rsid w:val="00F369FE"/>
    <w:rsid w:val="00F36AF7"/>
    <w:rsid w:val="00F36B09"/>
    <w:rsid w:val="00F36BC9"/>
    <w:rsid w:val="00F36C02"/>
    <w:rsid w:val="00F36CB2"/>
    <w:rsid w:val="00F36DAD"/>
    <w:rsid w:val="00F36ED9"/>
    <w:rsid w:val="00F3702B"/>
    <w:rsid w:val="00F37216"/>
    <w:rsid w:val="00F3726C"/>
    <w:rsid w:val="00F37354"/>
    <w:rsid w:val="00F374FD"/>
    <w:rsid w:val="00F37883"/>
    <w:rsid w:val="00F379E4"/>
    <w:rsid w:val="00F37BBA"/>
    <w:rsid w:val="00F401FE"/>
    <w:rsid w:val="00F4030C"/>
    <w:rsid w:val="00F404CD"/>
    <w:rsid w:val="00F40840"/>
    <w:rsid w:val="00F40997"/>
    <w:rsid w:val="00F409A9"/>
    <w:rsid w:val="00F40BD5"/>
    <w:rsid w:val="00F40DC3"/>
    <w:rsid w:val="00F41046"/>
    <w:rsid w:val="00F4125D"/>
    <w:rsid w:val="00F412F4"/>
    <w:rsid w:val="00F4143F"/>
    <w:rsid w:val="00F4145E"/>
    <w:rsid w:val="00F41717"/>
    <w:rsid w:val="00F41741"/>
    <w:rsid w:val="00F418CF"/>
    <w:rsid w:val="00F41BDF"/>
    <w:rsid w:val="00F41D45"/>
    <w:rsid w:val="00F420F0"/>
    <w:rsid w:val="00F4219C"/>
    <w:rsid w:val="00F4219E"/>
    <w:rsid w:val="00F42329"/>
    <w:rsid w:val="00F423AA"/>
    <w:rsid w:val="00F4275C"/>
    <w:rsid w:val="00F429A1"/>
    <w:rsid w:val="00F429BD"/>
    <w:rsid w:val="00F42D96"/>
    <w:rsid w:val="00F42DBC"/>
    <w:rsid w:val="00F42E4C"/>
    <w:rsid w:val="00F42FCC"/>
    <w:rsid w:val="00F4327A"/>
    <w:rsid w:val="00F43281"/>
    <w:rsid w:val="00F4329B"/>
    <w:rsid w:val="00F43608"/>
    <w:rsid w:val="00F43982"/>
    <w:rsid w:val="00F43B96"/>
    <w:rsid w:val="00F43C26"/>
    <w:rsid w:val="00F43C90"/>
    <w:rsid w:val="00F45407"/>
    <w:rsid w:val="00F45528"/>
    <w:rsid w:val="00F45D71"/>
    <w:rsid w:val="00F466A1"/>
    <w:rsid w:val="00F467B1"/>
    <w:rsid w:val="00F470E5"/>
    <w:rsid w:val="00F47376"/>
    <w:rsid w:val="00F47AE8"/>
    <w:rsid w:val="00F47F5D"/>
    <w:rsid w:val="00F47FD6"/>
    <w:rsid w:val="00F47FE1"/>
    <w:rsid w:val="00F5005A"/>
    <w:rsid w:val="00F5010E"/>
    <w:rsid w:val="00F5060C"/>
    <w:rsid w:val="00F50721"/>
    <w:rsid w:val="00F507A3"/>
    <w:rsid w:val="00F50BAE"/>
    <w:rsid w:val="00F50D36"/>
    <w:rsid w:val="00F512EA"/>
    <w:rsid w:val="00F51340"/>
    <w:rsid w:val="00F51441"/>
    <w:rsid w:val="00F516CF"/>
    <w:rsid w:val="00F51731"/>
    <w:rsid w:val="00F51935"/>
    <w:rsid w:val="00F52777"/>
    <w:rsid w:val="00F52E22"/>
    <w:rsid w:val="00F52E4D"/>
    <w:rsid w:val="00F52FE7"/>
    <w:rsid w:val="00F530F7"/>
    <w:rsid w:val="00F53674"/>
    <w:rsid w:val="00F53690"/>
    <w:rsid w:val="00F53B77"/>
    <w:rsid w:val="00F53C77"/>
    <w:rsid w:val="00F53DE4"/>
    <w:rsid w:val="00F53FB8"/>
    <w:rsid w:val="00F540C2"/>
    <w:rsid w:val="00F5451D"/>
    <w:rsid w:val="00F546FA"/>
    <w:rsid w:val="00F54891"/>
    <w:rsid w:val="00F548C0"/>
    <w:rsid w:val="00F54B72"/>
    <w:rsid w:val="00F54D88"/>
    <w:rsid w:val="00F555FF"/>
    <w:rsid w:val="00F5573D"/>
    <w:rsid w:val="00F55CB7"/>
    <w:rsid w:val="00F55E4A"/>
    <w:rsid w:val="00F56034"/>
    <w:rsid w:val="00F56266"/>
    <w:rsid w:val="00F56307"/>
    <w:rsid w:val="00F569F8"/>
    <w:rsid w:val="00F56B00"/>
    <w:rsid w:val="00F56F1D"/>
    <w:rsid w:val="00F57071"/>
    <w:rsid w:val="00F571C6"/>
    <w:rsid w:val="00F5736A"/>
    <w:rsid w:val="00F5755A"/>
    <w:rsid w:val="00F5761A"/>
    <w:rsid w:val="00F576DA"/>
    <w:rsid w:val="00F576ED"/>
    <w:rsid w:val="00F57786"/>
    <w:rsid w:val="00F579B5"/>
    <w:rsid w:val="00F60806"/>
    <w:rsid w:val="00F60839"/>
    <w:rsid w:val="00F60874"/>
    <w:rsid w:val="00F609CD"/>
    <w:rsid w:val="00F6179A"/>
    <w:rsid w:val="00F61A59"/>
    <w:rsid w:val="00F61BFD"/>
    <w:rsid w:val="00F61F2A"/>
    <w:rsid w:val="00F6210D"/>
    <w:rsid w:val="00F62281"/>
    <w:rsid w:val="00F62393"/>
    <w:rsid w:val="00F62454"/>
    <w:rsid w:val="00F625C8"/>
    <w:rsid w:val="00F62894"/>
    <w:rsid w:val="00F62ACD"/>
    <w:rsid w:val="00F631E1"/>
    <w:rsid w:val="00F63384"/>
    <w:rsid w:val="00F63654"/>
    <w:rsid w:val="00F63814"/>
    <w:rsid w:val="00F63EEB"/>
    <w:rsid w:val="00F64B28"/>
    <w:rsid w:val="00F64CE2"/>
    <w:rsid w:val="00F64FA3"/>
    <w:rsid w:val="00F651A2"/>
    <w:rsid w:val="00F652CF"/>
    <w:rsid w:val="00F6573B"/>
    <w:rsid w:val="00F65821"/>
    <w:rsid w:val="00F658B9"/>
    <w:rsid w:val="00F6596A"/>
    <w:rsid w:val="00F65A35"/>
    <w:rsid w:val="00F65A39"/>
    <w:rsid w:val="00F65A63"/>
    <w:rsid w:val="00F65AA6"/>
    <w:rsid w:val="00F65D8A"/>
    <w:rsid w:val="00F65E62"/>
    <w:rsid w:val="00F66873"/>
    <w:rsid w:val="00F6691E"/>
    <w:rsid w:val="00F670F0"/>
    <w:rsid w:val="00F67200"/>
    <w:rsid w:val="00F67219"/>
    <w:rsid w:val="00F67257"/>
    <w:rsid w:val="00F672CE"/>
    <w:rsid w:val="00F6752E"/>
    <w:rsid w:val="00F676EC"/>
    <w:rsid w:val="00F6782D"/>
    <w:rsid w:val="00F67C93"/>
    <w:rsid w:val="00F70423"/>
    <w:rsid w:val="00F7048C"/>
    <w:rsid w:val="00F7098A"/>
    <w:rsid w:val="00F70C75"/>
    <w:rsid w:val="00F712AA"/>
    <w:rsid w:val="00F7135D"/>
    <w:rsid w:val="00F71367"/>
    <w:rsid w:val="00F71708"/>
    <w:rsid w:val="00F717EF"/>
    <w:rsid w:val="00F71EC9"/>
    <w:rsid w:val="00F71FCA"/>
    <w:rsid w:val="00F726C0"/>
    <w:rsid w:val="00F7273E"/>
    <w:rsid w:val="00F728F3"/>
    <w:rsid w:val="00F72EAC"/>
    <w:rsid w:val="00F72F8F"/>
    <w:rsid w:val="00F735BF"/>
    <w:rsid w:val="00F7381D"/>
    <w:rsid w:val="00F73C14"/>
    <w:rsid w:val="00F73C67"/>
    <w:rsid w:val="00F73E05"/>
    <w:rsid w:val="00F74136"/>
    <w:rsid w:val="00F741A6"/>
    <w:rsid w:val="00F7470B"/>
    <w:rsid w:val="00F74A1B"/>
    <w:rsid w:val="00F750BC"/>
    <w:rsid w:val="00F750E5"/>
    <w:rsid w:val="00F757FA"/>
    <w:rsid w:val="00F75830"/>
    <w:rsid w:val="00F758CB"/>
    <w:rsid w:val="00F75930"/>
    <w:rsid w:val="00F75B9E"/>
    <w:rsid w:val="00F75E4D"/>
    <w:rsid w:val="00F76137"/>
    <w:rsid w:val="00F76462"/>
    <w:rsid w:val="00F76505"/>
    <w:rsid w:val="00F7662F"/>
    <w:rsid w:val="00F7678B"/>
    <w:rsid w:val="00F76AD0"/>
    <w:rsid w:val="00F76C57"/>
    <w:rsid w:val="00F76E6A"/>
    <w:rsid w:val="00F7715C"/>
    <w:rsid w:val="00F77347"/>
    <w:rsid w:val="00F7778E"/>
    <w:rsid w:val="00F777D8"/>
    <w:rsid w:val="00F77990"/>
    <w:rsid w:val="00F77D60"/>
    <w:rsid w:val="00F77DC9"/>
    <w:rsid w:val="00F77FDE"/>
    <w:rsid w:val="00F80568"/>
    <w:rsid w:val="00F807BF"/>
    <w:rsid w:val="00F80B24"/>
    <w:rsid w:val="00F80F6F"/>
    <w:rsid w:val="00F8134B"/>
    <w:rsid w:val="00F81526"/>
    <w:rsid w:val="00F81547"/>
    <w:rsid w:val="00F8180F"/>
    <w:rsid w:val="00F82757"/>
    <w:rsid w:val="00F829A4"/>
    <w:rsid w:val="00F829F1"/>
    <w:rsid w:val="00F82C48"/>
    <w:rsid w:val="00F82F63"/>
    <w:rsid w:val="00F834E1"/>
    <w:rsid w:val="00F8355C"/>
    <w:rsid w:val="00F8377B"/>
    <w:rsid w:val="00F83924"/>
    <w:rsid w:val="00F83CB4"/>
    <w:rsid w:val="00F83E45"/>
    <w:rsid w:val="00F8412D"/>
    <w:rsid w:val="00F843CB"/>
    <w:rsid w:val="00F843D1"/>
    <w:rsid w:val="00F84846"/>
    <w:rsid w:val="00F8492A"/>
    <w:rsid w:val="00F84AF0"/>
    <w:rsid w:val="00F84B8F"/>
    <w:rsid w:val="00F84CFC"/>
    <w:rsid w:val="00F84F15"/>
    <w:rsid w:val="00F851B8"/>
    <w:rsid w:val="00F854C9"/>
    <w:rsid w:val="00F8576B"/>
    <w:rsid w:val="00F8580C"/>
    <w:rsid w:val="00F85A3D"/>
    <w:rsid w:val="00F8606D"/>
    <w:rsid w:val="00F86601"/>
    <w:rsid w:val="00F8700A"/>
    <w:rsid w:val="00F87141"/>
    <w:rsid w:val="00F87203"/>
    <w:rsid w:val="00F87A42"/>
    <w:rsid w:val="00F900E5"/>
    <w:rsid w:val="00F901C6"/>
    <w:rsid w:val="00F90306"/>
    <w:rsid w:val="00F903AC"/>
    <w:rsid w:val="00F9048B"/>
    <w:rsid w:val="00F906FA"/>
    <w:rsid w:val="00F9080A"/>
    <w:rsid w:val="00F90C54"/>
    <w:rsid w:val="00F90CA1"/>
    <w:rsid w:val="00F90DB2"/>
    <w:rsid w:val="00F90E32"/>
    <w:rsid w:val="00F90F63"/>
    <w:rsid w:val="00F9180D"/>
    <w:rsid w:val="00F9181B"/>
    <w:rsid w:val="00F91EBA"/>
    <w:rsid w:val="00F91F22"/>
    <w:rsid w:val="00F923A5"/>
    <w:rsid w:val="00F92C37"/>
    <w:rsid w:val="00F92CA1"/>
    <w:rsid w:val="00F92ED0"/>
    <w:rsid w:val="00F93094"/>
    <w:rsid w:val="00F93552"/>
    <w:rsid w:val="00F936DB"/>
    <w:rsid w:val="00F938B0"/>
    <w:rsid w:val="00F93F1A"/>
    <w:rsid w:val="00F94175"/>
    <w:rsid w:val="00F9419C"/>
    <w:rsid w:val="00F9427C"/>
    <w:rsid w:val="00F94459"/>
    <w:rsid w:val="00F945B6"/>
    <w:rsid w:val="00F94615"/>
    <w:rsid w:val="00F94630"/>
    <w:rsid w:val="00F949EA"/>
    <w:rsid w:val="00F94A09"/>
    <w:rsid w:val="00F9500A"/>
    <w:rsid w:val="00F9528C"/>
    <w:rsid w:val="00F95430"/>
    <w:rsid w:val="00F956A7"/>
    <w:rsid w:val="00F956F8"/>
    <w:rsid w:val="00F95848"/>
    <w:rsid w:val="00F95922"/>
    <w:rsid w:val="00F962C6"/>
    <w:rsid w:val="00F964B6"/>
    <w:rsid w:val="00F965F7"/>
    <w:rsid w:val="00F969CB"/>
    <w:rsid w:val="00F96E22"/>
    <w:rsid w:val="00F96E95"/>
    <w:rsid w:val="00F97150"/>
    <w:rsid w:val="00F971FD"/>
    <w:rsid w:val="00F973A1"/>
    <w:rsid w:val="00F977CF"/>
    <w:rsid w:val="00F97C63"/>
    <w:rsid w:val="00F97D20"/>
    <w:rsid w:val="00FA0349"/>
    <w:rsid w:val="00FA0509"/>
    <w:rsid w:val="00FA07FD"/>
    <w:rsid w:val="00FA0EAD"/>
    <w:rsid w:val="00FA11EE"/>
    <w:rsid w:val="00FA12BC"/>
    <w:rsid w:val="00FA13F5"/>
    <w:rsid w:val="00FA156C"/>
    <w:rsid w:val="00FA17DD"/>
    <w:rsid w:val="00FA1866"/>
    <w:rsid w:val="00FA1928"/>
    <w:rsid w:val="00FA1F3C"/>
    <w:rsid w:val="00FA1FA4"/>
    <w:rsid w:val="00FA1FBA"/>
    <w:rsid w:val="00FA1FCF"/>
    <w:rsid w:val="00FA2213"/>
    <w:rsid w:val="00FA24AA"/>
    <w:rsid w:val="00FA259A"/>
    <w:rsid w:val="00FA25F1"/>
    <w:rsid w:val="00FA297E"/>
    <w:rsid w:val="00FA2AF0"/>
    <w:rsid w:val="00FA2AFC"/>
    <w:rsid w:val="00FA2D0A"/>
    <w:rsid w:val="00FA334C"/>
    <w:rsid w:val="00FA352F"/>
    <w:rsid w:val="00FA35DA"/>
    <w:rsid w:val="00FA35DF"/>
    <w:rsid w:val="00FA367D"/>
    <w:rsid w:val="00FA379B"/>
    <w:rsid w:val="00FA37F1"/>
    <w:rsid w:val="00FA3A05"/>
    <w:rsid w:val="00FA3D6F"/>
    <w:rsid w:val="00FA4112"/>
    <w:rsid w:val="00FA4485"/>
    <w:rsid w:val="00FA47DB"/>
    <w:rsid w:val="00FA4902"/>
    <w:rsid w:val="00FA4BA6"/>
    <w:rsid w:val="00FA4CA3"/>
    <w:rsid w:val="00FA4E90"/>
    <w:rsid w:val="00FA51FC"/>
    <w:rsid w:val="00FA54A4"/>
    <w:rsid w:val="00FA54FA"/>
    <w:rsid w:val="00FA564A"/>
    <w:rsid w:val="00FA57F1"/>
    <w:rsid w:val="00FA5950"/>
    <w:rsid w:val="00FA5C7D"/>
    <w:rsid w:val="00FA633D"/>
    <w:rsid w:val="00FA68C7"/>
    <w:rsid w:val="00FA6CE0"/>
    <w:rsid w:val="00FA6FA3"/>
    <w:rsid w:val="00FA70A7"/>
    <w:rsid w:val="00FA715E"/>
    <w:rsid w:val="00FA73FE"/>
    <w:rsid w:val="00FA767E"/>
    <w:rsid w:val="00FA78AD"/>
    <w:rsid w:val="00FA7B29"/>
    <w:rsid w:val="00FAFCA3"/>
    <w:rsid w:val="00FB0029"/>
    <w:rsid w:val="00FB034A"/>
    <w:rsid w:val="00FB0544"/>
    <w:rsid w:val="00FB07DC"/>
    <w:rsid w:val="00FB0D04"/>
    <w:rsid w:val="00FB0E39"/>
    <w:rsid w:val="00FB2062"/>
    <w:rsid w:val="00FB22F8"/>
    <w:rsid w:val="00FB235B"/>
    <w:rsid w:val="00FB2509"/>
    <w:rsid w:val="00FB25E0"/>
    <w:rsid w:val="00FB277F"/>
    <w:rsid w:val="00FB2981"/>
    <w:rsid w:val="00FB2F7A"/>
    <w:rsid w:val="00FB31AE"/>
    <w:rsid w:val="00FB328C"/>
    <w:rsid w:val="00FB34AF"/>
    <w:rsid w:val="00FB3A9C"/>
    <w:rsid w:val="00FB3AD5"/>
    <w:rsid w:val="00FB3BA7"/>
    <w:rsid w:val="00FB3BFD"/>
    <w:rsid w:val="00FB3C1B"/>
    <w:rsid w:val="00FB3C47"/>
    <w:rsid w:val="00FB3F5F"/>
    <w:rsid w:val="00FB43C0"/>
    <w:rsid w:val="00FB43F9"/>
    <w:rsid w:val="00FB4419"/>
    <w:rsid w:val="00FB4A2D"/>
    <w:rsid w:val="00FB4F26"/>
    <w:rsid w:val="00FB504E"/>
    <w:rsid w:val="00FB53CF"/>
    <w:rsid w:val="00FB5559"/>
    <w:rsid w:val="00FB5C25"/>
    <w:rsid w:val="00FB5C36"/>
    <w:rsid w:val="00FB5EAE"/>
    <w:rsid w:val="00FB5F7B"/>
    <w:rsid w:val="00FB64C8"/>
    <w:rsid w:val="00FB66FC"/>
    <w:rsid w:val="00FB6A50"/>
    <w:rsid w:val="00FB72F8"/>
    <w:rsid w:val="00FB7BC3"/>
    <w:rsid w:val="00FB7EB3"/>
    <w:rsid w:val="00FC021B"/>
    <w:rsid w:val="00FC07AB"/>
    <w:rsid w:val="00FC0B21"/>
    <w:rsid w:val="00FC0B3C"/>
    <w:rsid w:val="00FC0DA3"/>
    <w:rsid w:val="00FC0E47"/>
    <w:rsid w:val="00FC1103"/>
    <w:rsid w:val="00FC125A"/>
    <w:rsid w:val="00FC12A7"/>
    <w:rsid w:val="00FC1388"/>
    <w:rsid w:val="00FC1476"/>
    <w:rsid w:val="00FC1513"/>
    <w:rsid w:val="00FC16AD"/>
    <w:rsid w:val="00FC1987"/>
    <w:rsid w:val="00FC19E6"/>
    <w:rsid w:val="00FC1B84"/>
    <w:rsid w:val="00FC1DBB"/>
    <w:rsid w:val="00FC22EE"/>
    <w:rsid w:val="00FC2597"/>
    <w:rsid w:val="00FC2DF0"/>
    <w:rsid w:val="00FC2E84"/>
    <w:rsid w:val="00FC31FD"/>
    <w:rsid w:val="00FC3747"/>
    <w:rsid w:val="00FC399B"/>
    <w:rsid w:val="00FC3FF5"/>
    <w:rsid w:val="00FC43C9"/>
    <w:rsid w:val="00FC46E7"/>
    <w:rsid w:val="00FC4821"/>
    <w:rsid w:val="00FC48D5"/>
    <w:rsid w:val="00FC4E6F"/>
    <w:rsid w:val="00FC5256"/>
    <w:rsid w:val="00FC575F"/>
    <w:rsid w:val="00FC588E"/>
    <w:rsid w:val="00FC5C6F"/>
    <w:rsid w:val="00FC5DE0"/>
    <w:rsid w:val="00FC5EB2"/>
    <w:rsid w:val="00FC6175"/>
    <w:rsid w:val="00FC68A9"/>
    <w:rsid w:val="00FC6A9A"/>
    <w:rsid w:val="00FC6AE1"/>
    <w:rsid w:val="00FC7465"/>
    <w:rsid w:val="00FC7DC4"/>
    <w:rsid w:val="00FD03A8"/>
    <w:rsid w:val="00FD0546"/>
    <w:rsid w:val="00FD08F9"/>
    <w:rsid w:val="00FD0994"/>
    <w:rsid w:val="00FD09FB"/>
    <w:rsid w:val="00FD0CC0"/>
    <w:rsid w:val="00FD102E"/>
    <w:rsid w:val="00FD13E1"/>
    <w:rsid w:val="00FD1534"/>
    <w:rsid w:val="00FD1B44"/>
    <w:rsid w:val="00FD25B5"/>
    <w:rsid w:val="00FD2604"/>
    <w:rsid w:val="00FD272C"/>
    <w:rsid w:val="00FD2968"/>
    <w:rsid w:val="00FD29A0"/>
    <w:rsid w:val="00FD311C"/>
    <w:rsid w:val="00FD3147"/>
    <w:rsid w:val="00FD3796"/>
    <w:rsid w:val="00FD37E8"/>
    <w:rsid w:val="00FD37EC"/>
    <w:rsid w:val="00FD42F9"/>
    <w:rsid w:val="00FD45AD"/>
    <w:rsid w:val="00FD46F2"/>
    <w:rsid w:val="00FD4AD0"/>
    <w:rsid w:val="00FD4B12"/>
    <w:rsid w:val="00FD4EA5"/>
    <w:rsid w:val="00FD4EAB"/>
    <w:rsid w:val="00FD4EB2"/>
    <w:rsid w:val="00FD51A4"/>
    <w:rsid w:val="00FD5252"/>
    <w:rsid w:val="00FD53F2"/>
    <w:rsid w:val="00FD5470"/>
    <w:rsid w:val="00FD572D"/>
    <w:rsid w:val="00FD57D0"/>
    <w:rsid w:val="00FD5824"/>
    <w:rsid w:val="00FD588F"/>
    <w:rsid w:val="00FD59E7"/>
    <w:rsid w:val="00FD5B82"/>
    <w:rsid w:val="00FD5C2F"/>
    <w:rsid w:val="00FD6257"/>
    <w:rsid w:val="00FD6657"/>
    <w:rsid w:val="00FD6AD0"/>
    <w:rsid w:val="00FD6B58"/>
    <w:rsid w:val="00FD6B7A"/>
    <w:rsid w:val="00FD7134"/>
    <w:rsid w:val="00FD7164"/>
    <w:rsid w:val="00FD71B5"/>
    <w:rsid w:val="00FD7355"/>
    <w:rsid w:val="00FD7400"/>
    <w:rsid w:val="00FD74D8"/>
    <w:rsid w:val="00FD74DB"/>
    <w:rsid w:val="00FD762B"/>
    <w:rsid w:val="00FD76E5"/>
    <w:rsid w:val="00FD78A6"/>
    <w:rsid w:val="00FD7975"/>
    <w:rsid w:val="00FD799A"/>
    <w:rsid w:val="00FD7B99"/>
    <w:rsid w:val="00FD7BCF"/>
    <w:rsid w:val="00FD7EC6"/>
    <w:rsid w:val="00FD7FE0"/>
    <w:rsid w:val="00FE027E"/>
    <w:rsid w:val="00FE065E"/>
    <w:rsid w:val="00FE0729"/>
    <w:rsid w:val="00FE076D"/>
    <w:rsid w:val="00FE0CC7"/>
    <w:rsid w:val="00FE0CCC"/>
    <w:rsid w:val="00FE110C"/>
    <w:rsid w:val="00FE1600"/>
    <w:rsid w:val="00FE170B"/>
    <w:rsid w:val="00FE18A4"/>
    <w:rsid w:val="00FE1DCD"/>
    <w:rsid w:val="00FE1E83"/>
    <w:rsid w:val="00FE2FF3"/>
    <w:rsid w:val="00FE30AF"/>
    <w:rsid w:val="00FE3216"/>
    <w:rsid w:val="00FE32FF"/>
    <w:rsid w:val="00FE34FF"/>
    <w:rsid w:val="00FE37FC"/>
    <w:rsid w:val="00FE3B01"/>
    <w:rsid w:val="00FE3EB9"/>
    <w:rsid w:val="00FE4461"/>
    <w:rsid w:val="00FE458C"/>
    <w:rsid w:val="00FE4948"/>
    <w:rsid w:val="00FE4E13"/>
    <w:rsid w:val="00FE511F"/>
    <w:rsid w:val="00FE539A"/>
    <w:rsid w:val="00FE5E07"/>
    <w:rsid w:val="00FE690B"/>
    <w:rsid w:val="00FE6A5A"/>
    <w:rsid w:val="00FE6EFA"/>
    <w:rsid w:val="00FE727E"/>
    <w:rsid w:val="00FE7691"/>
    <w:rsid w:val="00FE774B"/>
    <w:rsid w:val="00FE77E2"/>
    <w:rsid w:val="00FE7B39"/>
    <w:rsid w:val="00FE7FC5"/>
    <w:rsid w:val="00FF0322"/>
    <w:rsid w:val="00FF06F0"/>
    <w:rsid w:val="00FF0947"/>
    <w:rsid w:val="00FF0C1C"/>
    <w:rsid w:val="00FF12BA"/>
    <w:rsid w:val="00FF18EB"/>
    <w:rsid w:val="00FF19E2"/>
    <w:rsid w:val="00FF1C4A"/>
    <w:rsid w:val="00FF1D85"/>
    <w:rsid w:val="00FF1DAF"/>
    <w:rsid w:val="00FF1E59"/>
    <w:rsid w:val="00FF2256"/>
    <w:rsid w:val="00FF28C2"/>
    <w:rsid w:val="00FF28CA"/>
    <w:rsid w:val="00FF3186"/>
    <w:rsid w:val="00FF31D8"/>
    <w:rsid w:val="00FF31FE"/>
    <w:rsid w:val="00FF32D1"/>
    <w:rsid w:val="00FF3667"/>
    <w:rsid w:val="00FF3710"/>
    <w:rsid w:val="00FF380F"/>
    <w:rsid w:val="00FF386F"/>
    <w:rsid w:val="00FF43C2"/>
    <w:rsid w:val="00FF4ABE"/>
    <w:rsid w:val="00FF50EE"/>
    <w:rsid w:val="00FF54AF"/>
    <w:rsid w:val="00FF56AC"/>
    <w:rsid w:val="00FF589D"/>
    <w:rsid w:val="00FF58EC"/>
    <w:rsid w:val="00FF5C03"/>
    <w:rsid w:val="00FF6058"/>
    <w:rsid w:val="00FF6185"/>
    <w:rsid w:val="00FF633C"/>
    <w:rsid w:val="00FF6544"/>
    <w:rsid w:val="00FF65F8"/>
    <w:rsid w:val="00FF685C"/>
    <w:rsid w:val="00FF6D33"/>
    <w:rsid w:val="00FF6D78"/>
    <w:rsid w:val="00FF6E33"/>
    <w:rsid w:val="00FF6F9D"/>
    <w:rsid w:val="00FF71B5"/>
    <w:rsid w:val="00FF7222"/>
    <w:rsid w:val="00FF7314"/>
    <w:rsid w:val="00FF77B1"/>
    <w:rsid w:val="00FF78E5"/>
    <w:rsid w:val="00FF7CCA"/>
    <w:rsid w:val="00FF7DEA"/>
    <w:rsid w:val="01034998"/>
    <w:rsid w:val="0106F2C6"/>
    <w:rsid w:val="010B8086"/>
    <w:rsid w:val="010E16E5"/>
    <w:rsid w:val="011C16EB"/>
    <w:rsid w:val="011D4BE9"/>
    <w:rsid w:val="011FE637"/>
    <w:rsid w:val="0129D47D"/>
    <w:rsid w:val="0132A231"/>
    <w:rsid w:val="01352E49"/>
    <w:rsid w:val="01374035"/>
    <w:rsid w:val="01397C72"/>
    <w:rsid w:val="013F2A7B"/>
    <w:rsid w:val="014F876B"/>
    <w:rsid w:val="01541012"/>
    <w:rsid w:val="0156D3D1"/>
    <w:rsid w:val="01591CAE"/>
    <w:rsid w:val="0168EDD0"/>
    <w:rsid w:val="016B1001"/>
    <w:rsid w:val="0178430C"/>
    <w:rsid w:val="018517D7"/>
    <w:rsid w:val="018BB485"/>
    <w:rsid w:val="018EB757"/>
    <w:rsid w:val="0191FCD3"/>
    <w:rsid w:val="019C06F1"/>
    <w:rsid w:val="019F6296"/>
    <w:rsid w:val="01A238C2"/>
    <w:rsid w:val="01A2D47F"/>
    <w:rsid w:val="01A8225C"/>
    <w:rsid w:val="01B1D395"/>
    <w:rsid w:val="01B1E288"/>
    <w:rsid w:val="01B8E3DD"/>
    <w:rsid w:val="01D82A66"/>
    <w:rsid w:val="01E1A00E"/>
    <w:rsid w:val="01E3847A"/>
    <w:rsid w:val="0209AF1A"/>
    <w:rsid w:val="020DA1FB"/>
    <w:rsid w:val="020F3C41"/>
    <w:rsid w:val="021E15A8"/>
    <w:rsid w:val="022AF47D"/>
    <w:rsid w:val="022C46A9"/>
    <w:rsid w:val="022F482E"/>
    <w:rsid w:val="023ECDD0"/>
    <w:rsid w:val="02470ED1"/>
    <w:rsid w:val="0249EA60"/>
    <w:rsid w:val="026C23AE"/>
    <w:rsid w:val="026E3E69"/>
    <w:rsid w:val="026FEE9F"/>
    <w:rsid w:val="027CAC4C"/>
    <w:rsid w:val="027EF8C7"/>
    <w:rsid w:val="02804027"/>
    <w:rsid w:val="02835F2F"/>
    <w:rsid w:val="02861808"/>
    <w:rsid w:val="028644B6"/>
    <w:rsid w:val="028AD1B6"/>
    <w:rsid w:val="0291BCC4"/>
    <w:rsid w:val="029266D3"/>
    <w:rsid w:val="02A1B0A1"/>
    <w:rsid w:val="02A2ECD5"/>
    <w:rsid w:val="02AA6040"/>
    <w:rsid w:val="02C6F803"/>
    <w:rsid w:val="02C98CD8"/>
    <w:rsid w:val="02D73672"/>
    <w:rsid w:val="02DF470F"/>
    <w:rsid w:val="02E09EE6"/>
    <w:rsid w:val="02F6AA40"/>
    <w:rsid w:val="02FAB6DC"/>
    <w:rsid w:val="02FCF7FF"/>
    <w:rsid w:val="02FD5D9F"/>
    <w:rsid w:val="02FFA849"/>
    <w:rsid w:val="03063D2D"/>
    <w:rsid w:val="0315EEE6"/>
    <w:rsid w:val="03256DD4"/>
    <w:rsid w:val="032637C0"/>
    <w:rsid w:val="0327B6BC"/>
    <w:rsid w:val="032BA986"/>
    <w:rsid w:val="03306BE0"/>
    <w:rsid w:val="03317E5E"/>
    <w:rsid w:val="0333599A"/>
    <w:rsid w:val="0342BD68"/>
    <w:rsid w:val="03598EE9"/>
    <w:rsid w:val="036B85E6"/>
    <w:rsid w:val="036FD27B"/>
    <w:rsid w:val="03718609"/>
    <w:rsid w:val="037F1772"/>
    <w:rsid w:val="0382D618"/>
    <w:rsid w:val="038B7AA7"/>
    <w:rsid w:val="038BB96C"/>
    <w:rsid w:val="038BF958"/>
    <w:rsid w:val="03954A77"/>
    <w:rsid w:val="039F32DC"/>
    <w:rsid w:val="039FD073"/>
    <w:rsid w:val="03ADF9A8"/>
    <w:rsid w:val="03AECEA4"/>
    <w:rsid w:val="03B51D84"/>
    <w:rsid w:val="03B82E5D"/>
    <w:rsid w:val="03B9DCE8"/>
    <w:rsid w:val="03BCF42B"/>
    <w:rsid w:val="03BFE8F9"/>
    <w:rsid w:val="03C5B34B"/>
    <w:rsid w:val="03C6F5A9"/>
    <w:rsid w:val="03DE349E"/>
    <w:rsid w:val="03EFCC0A"/>
    <w:rsid w:val="03F7225B"/>
    <w:rsid w:val="042B1657"/>
    <w:rsid w:val="043AC0C5"/>
    <w:rsid w:val="043B223E"/>
    <w:rsid w:val="043C555B"/>
    <w:rsid w:val="0447136E"/>
    <w:rsid w:val="044DFC3F"/>
    <w:rsid w:val="044F09B6"/>
    <w:rsid w:val="0450968D"/>
    <w:rsid w:val="047AA84C"/>
    <w:rsid w:val="047F771D"/>
    <w:rsid w:val="047F8A4B"/>
    <w:rsid w:val="048A691D"/>
    <w:rsid w:val="0497934F"/>
    <w:rsid w:val="049A26F2"/>
    <w:rsid w:val="049AACE8"/>
    <w:rsid w:val="049E1801"/>
    <w:rsid w:val="049ED119"/>
    <w:rsid w:val="04A5D877"/>
    <w:rsid w:val="04AEDE87"/>
    <w:rsid w:val="04B072B0"/>
    <w:rsid w:val="04B3FDA8"/>
    <w:rsid w:val="04C88867"/>
    <w:rsid w:val="04CB0469"/>
    <w:rsid w:val="04D0DDFE"/>
    <w:rsid w:val="04EEDD29"/>
    <w:rsid w:val="04EF378D"/>
    <w:rsid w:val="04EFE5F7"/>
    <w:rsid w:val="04F20228"/>
    <w:rsid w:val="04F36E64"/>
    <w:rsid w:val="04F6A2CD"/>
    <w:rsid w:val="04FB715B"/>
    <w:rsid w:val="04FDCE0A"/>
    <w:rsid w:val="050075A4"/>
    <w:rsid w:val="0503B8AF"/>
    <w:rsid w:val="050BA2DC"/>
    <w:rsid w:val="05102749"/>
    <w:rsid w:val="05193752"/>
    <w:rsid w:val="0523CB4E"/>
    <w:rsid w:val="052CEF85"/>
    <w:rsid w:val="052DE411"/>
    <w:rsid w:val="05302B1D"/>
    <w:rsid w:val="054F1B93"/>
    <w:rsid w:val="0554BF76"/>
    <w:rsid w:val="055C1584"/>
    <w:rsid w:val="055E41BC"/>
    <w:rsid w:val="055FF55A"/>
    <w:rsid w:val="05606DE7"/>
    <w:rsid w:val="0562DBB5"/>
    <w:rsid w:val="0563FE78"/>
    <w:rsid w:val="05719293"/>
    <w:rsid w:val="05725E3F"/>
    <w:rsid w:val="057AB0AA"/>
    <w:rsid w:val="057FF17D"/>
    <w:rsid w:val="0588D7E2"/>
    <w:rsid w:val="059053DC"/>
    <w:rsid w:val="05950935"/>
    <w:rsid w:val="05955D72"/>
    <w:rsid w:val="05966C22"/>
    <w:rsid w:val="0598510D"/>
    <w:rsid w:val="059A748F"/>
    <w:rsid w:val="05A2782D"/>
    <w:rsid w:val="05A570D1"/>
    <w:rsid w:val="05B57910"/>
    <w:rsid w:val="05BF5883"/>
    <w:rsid w:val="05D44E15"/>
    <w:rsid w:val="05D5BBDE"/>
    <w:rsid w:val="05D987DA"/>
    <w:rsid w:val="05EB75ED"/>
    <w:rsid w:val="05F475A4"/>
    <w:rsid w:val="05F90CDB"/>
    <w:rsid w:val="06026520"/>
    <w:rsid w:val="0607F4BD"/>
    <w:rsid w:val="06182A25"/>
    <w:rsid w:val="061B5AAC"/>
    <w:rsid w:val="0629E021"/>
    <w:rsid w:val="063B32FB"/>
    <w:rsid w:val="064461BD"/>
    <w:rsid w:val="0653B84D"/>
    <w:rsid w:val="065E281E"/>
    <w:rsid w:val="06638B0A"/>
    <w:rsid w:val="066B21E2"/>
    <w:rsid w:val="066DF807"/>
    <w:rsid w:val="066EBDBE"/>
    <w:rsid w:val="067AE853"/>
    <w:rsid w:val="067B1A29"/>
    <w:rsid w:val="0680EB98"/>
    <w:rsid w:val="0684E719"/>
    <w:rsid w:val="068A7D26"/>
    <w:rsid w:val="0694F791"/>
    <w:rsid w:val="069BA5A0"/>
    <w:rsid w:val="069EDC76"/>
    <w:rsid w:val="069F260F"/>
    <w:rsid w:val="06A88C43"/>
    <w:rsid w:val="06AAA761"/>
    <w:rsid w:val="06AD44AC"/>
    <w:rsid w:val="06B8C1F4"/>
    <w:rsid w:val="06E1E10C"/>
    <w:rsid w:val="06F08FD7"/>
    <w:rsid w:val="06F1B907"/>
    <w:rsid w:val="06F31D38"/>
    <w:rsid w:val="06FF3CFE"/>
    <w:rsid w:val="07023AE8"/>
    <w:rsid w:val="07041002"/>
    <w:rsid w:val="070705B1"/>
    <w:rsid w:val="071CE1A4"/>
    <w:rsid w:val="07209771"/>
    <w:rsid w:val="07214C0F"/>
    <w:rsid w:val="0722172C"/>
    <w:rsid w:val="0722D2AA"/>
    <w:rsid w:val="07261A91"/>
    <w:rsid w:val="0729DB95"/>
    <w:rsid w:val="0735776F"/>
    <w:rsid w:val="074AB306"/>
    <w:rsid w:val="074CC17D"/>
    <w:rsid w:val="075C9EFB"/>
    <w:rsid w:val="076480AC"/>
    <w:rsid w:val="07648160"/>
    <w:rsid w:val="07719D52"/>
    <w:rsid w:val="077227F1"/>
    <w:rsid w:val="0772363D"/>
    <w:rsid w:val="0777156F"/>
    <w:rsid w:val="07876C29"/>
    <w:rsid w:val="0789A5AA"/>
    <w:rsid w:val="078BB6C5"/>
    <w:rsid w:val="078C394D"/>
    <w:rsid w:val="078CE390"/>
    <w:rsid w:val="07958446"/>
    <w:rsid w:val="07975BC6"/>
    <w:rsid w:val="07A5E3F9"/>
    <w:rsid w:val="07BADC5E"/>
    <w:rsid w:val="07BB9BF9"/>
    <w:rsid w:val="07C55808"/>
    <w:rsid w:val="07CAF897"/>
    <w:rsid w:val="07D21270"/>
    <w:rsid w:val="07D44743"/>
    <w:rsid w:val="07E37596"/>
    <w:rsid w:val="07E826FC"/>
    <w:rsid w:val="07EAC959"/>
    <w:rsid w:val="07EFD58F"/>
    <w:rsid w:val="07F786A7"/>
    <w:rsid w:val="080CBF13"/>
    <w:rsid w:val="0811B1FC"/>
    <w:rsid w:val="08174EE0"/>
    <w:rsid w:val="082106B3"/>
    <w:rsid w:val="08249A12"/>
    <w:rsid w:val="08283A10"/>
    <w:rsid w:val="0829D048"/>
    <w:rsid w:val="083031A0"/>
    <w:rsid w:val="08336B38"/>
    <w:rsid w:val="0837D723"/>
    <w:rsid w:val="083DFA61"/>
    <w:rsid w:val="083F766D"/>
    <w:rsid w:val="085D65E6"/>
    <w:rsid w:val="08618774"/>
    <w:rsid w:val="086856F3"/>
    <w:rsid w:val="08691B99"/>
    <w:rsid w:val="08734196"/>
    <w:rsid w:val="08846D5C"/>
    <w:rsid w:val="08A75142"/>
    <w:rsid w:val="08A7E7BF"/>
    <w:rsid w:val="08A9FF01"/>
    <w:rsid w:val="08AF8187"/>
    <w:rsid w:val="08B1ED70"/>
    <w:rsid w:val="08B75AAE"/>
    <w:rsid w:val="08CC45FF"/>
    <w:rsid w:val="08CD5059"/>
    <w:rsid w:val="08D14049"/>
    <w:rsid w:val="08D6F165"/>
    <w:rsid w:val="08D8EA89"/>
    <w:rsid w:val="08D9B900"/>
    <w:rsid w:val="08E414AC"/>
    <w:rsid w:val="08E891DE"/>
    <w:rsid w:val="08EA41BF"/>
    <w:rsid w:val="08F321D3"/>
    <w:rsid w:val="08FF68B4"/>
    <w:rsid w:val="09047969"/>
    <w:rsid w:val="090B6C33"/>
    <w:rsid w:val="090D7004"/>
    <w:rsid w:val="091BD92A"/>
    <w:rsid w:val="091C917E"/>
    <w:rsid w:val="09288FA4"/>
    <w:rsid w:val="092AB2FD"/>
    <w:rsid w:val="092F4C83"/>
    <w:rsid w:val="09424F79"/>
    <w:rsid w:val="0943DA7A"/>
    <w:rsid w:val="094747A7"/>
    <w:rsid w:val="094E16C4"/>
    <w:rsid w:val="0954BD9C"/>
    <w:rsid w:val="0955C9B2"/>
    <w:rsid w:val="0965E199"/>
    <w:rsid w:val="096A6920"/>
    <w:rsid w:val="0973506D"/>
    <w:rsid w:val="0974FB8C"/>
    <w:rsid w:val="097552FA"/>
    <w:rsid w:val="097A5FB3"/>
    <w:rsid w:val="097E8F94"/>
    <w:rsid w:val="0987F56A"/>
    <w:rsid w:val="0992B0C2"/>
    <w:rsid w:val="09983F17"/>
    <w:rsid w:val="09AB8D16"/>
    <w:rsid w:val="09B17433"/>
    <w:rsid w:val="09B664C3"/>
    <w:rsid w:val="09BB3EEE"/>
    <w:rsid w:val="09BD459A"/>
    <w:rsid w:val="09C76CAA"/>
    <w:rsid w:val="09C84148"/>
    <w:rsid w:val="09CF7CB2"/>
    <w:rsid w:val="09D7CCB8"/>
    <w:rsid w:val="09DBAB75"/>
    <w:rsid w:val="09DC3205"/>
    <w:rsid w:val="09F2375B"/>
    <w:rsid w:val="0A02EF6F"/>
    <w:rsid w:val="0A0872B4"/>
    <w:rsid w:val="0A12EA88"/>
    <w:rsid w:val="0A216CE1"/>
    <w:rsid w:val="0A2BAB09"/>
    <w:rsid w:val="0A2E53AC"/>
    <w:rsid w:val="0A3545C5"/>
    <w:rsid w:val="0A35EEC7"/>
    <w:rsid w:val="0A467DA4"/>
    <w:rsid w:val="0A4C4571"/>
    <w:rsid w:val="0A538D08"/>
    <w:rsid w:val="0A59CC3A"/>
    <w:rsid w:val="0A62A2B3"/>
    <w:rsid w:val="0A643A4C"/>
    <w:rsid w:val="0A68C6AB"/>
    <w:rsid w:val="0A699E54"/>
    <w:rsid w:val="0A69D91C"/>
    <w:rsid w:val="0A6DA04E"/>
    <w:rsid w:val="0A71E183"/>
    <w:rsid w:val="0A7D5FEF"/>
    <w:rsid w:val="0A7D97D0"/>
    <w:rsid w:val="0A806E7B"/>
    <w:rsid w:val="0A825E6E"/>
    <w:rsid w:val="0A86F0BD"/>
    <w:rsid w:val="0A99C145"/>
    <w:rsid w:val="0AA74D04"/>
    <w:rsid w:val="0AB273B1"/>
    <w:rsid w:val="0AB355A1"/>
    <w:rsid w:val="0AB91235"/>
    <w:rsid w:val="0ABAEE95"/>
    <w:rsid w:val="0ABDF1A1"/>
    <w:rsid w:val="0AC0744E"/>
    <w:rsid w:val="0ACBA053"/>
    <w:rsid w:val="0AD27528"/>
    <w:rsid w:val="0ADA36F9"/>
    <w:rsid w:val="0ADE5D43"/>
    <w:rsid w:val="0ADF9139"/>
    <w:rsid w:val="0AE1503F"/>
    <w:rsid w:val="0AE2FE03"/>
    <w:rsid w:val="0B040DEE"/>
    <w:rsid w:val="0B0939A8"/>
    <w:rsid w:val="0B0D374F"/>
    <w:rsid w:val="0B1CE758"/>
    <w:rsid w:val="0B201525"/>
    <w:rsid w:val="0B2DAFD2"/>
    <w:rsid w:val="0B323AA1"/>
    <w:rsid w:val="0B32EF00"/>
    <w:rsid w:val="0B3436FC"/>
    <w:rsid w:val="0B376329"/>
    <w:rsid w:val="0B3DB713"/>
    <w:rsid w:val="0B419029"/>
    <w:rsid w:val="0B42ED54"/>
    <w:rsid w:val="0B44B9DB"/>
    <w:rsid w:val="0B494029"/>
    <w:rsid w:val="0B595A44"/>
    <w:rsid w:val="0B5D0E79"/>
    <w:rsid w:val="0B5F4711"/>
    <w:rsid w:val="0B6333D6"/>
    <w:rsid w:val="0B6384C9"/>
    <w:rsid w:val="0B68FCEB"/>
    <w:rsid w:val="0B6EBC7D"/>
    <w:rsid w:val="0B6FF8EE"/>
    <w:rsid w:val="0B8338EB"/>
    <w:rsid w:val="0B8A28A4"/>
    <w:rsid w:val="0B914E52"/>
    <w:rsid w:val="0B9C74FC"/>
    <w:rsid w:val="0BA78009"/>
    <w:rsid w:val="0BB08829"/>
    <w:rsid w:val="0BB4A241"/>
    <w:rsid w:val="0BB62D27"/>
    <w:rsid w:val="0BCD2567"/>
    <w:rsid w:val="0BCF92FC"/>
    <w:rsid w:val="0BD62707"/>
    <w:rsid w:val="0BDE7A92"/>
    <w:rsid w:val="0BDF29CF"/>
    <w:rsid w:val="0BE19FC3"/>
    <w:rsid w:val="0BE4E99F"/>
    <w:rsid w:val="0BF01B53"/>
    <w:rsid w:val="0C085A63"/>
    <w:rsid w:val="0C08BCC5"/>
    <w:rsid w:val="0C0A24AA"/>
    <w:rsid w:val="0C0A4A3D"/>
    <w:rsid w:val="0C0B41B6"/>
    <w:rsid w:val="0C0CAED4"/>
    <w:rsid w:val="0C135E6E"/>
    <w:rsid w:val="0C161A0B"/>
    <w:rsid w:val="0C261A7A"/>
    <w:rsid w:val="0C2754E2"/>
    <w:rsid w:val="0C39CA3C"/>
    <w:rsid w:val="0C3BC27A"/>
    <w:rsid w:val="0C3C1A2B"/>
    <w:rsid w:val="0C4232BE"/>
    <w:rsid w:val="0C43A856"/>
    <w:rsid w:val="0C473D7B"/>
    <w:rsid w:val="0C4781B1"/>
    <w:rsid w:val="0C4E19ED"/>
    <w:rsid w:val="0C4EDB3C"/>
    <w:rsid w:val="0C50C537"/>
    <w:rsid w:val="0C541077"/>
    <w:rsid w:val="0C5543E4"/>
    <w:rsid w:val="0C5736D3"/>
    <w:rsid w:val="0C59C3E8"/>
    <w:rsid w:val="0C5B9587"/>
    <w:rsid w:val="0C5C0ABB"/>
    <w:rsid w:val="0C62057B"/>
    <w:rsid w:val="0C6718DB"/>
    <w:rsid w:val="0C67B9A1"/>
    <w:rsid w:val="0C6C3AE8"/>
    <w:rsid w:val="0C6C9DE9"/>
    <w:rsid w:val="0C6CE13B"/>
    <w:rsid w:val="0C6FB984"/>
    <w:rsid w:val="0C77A40D"/>
    <w:rsid w:val="0C780996"/>
    <w:rsid w:val="0C856E09"/>
    <w:rsid w:val="0C8CDAC3"/>
    <w:rsid w:val="0C8E5CD8"/>
    <w:rsid w:val="0C94CE98"/>
    <w:rsid w:val="0C94F0B3"/>
    <w:rsid w:val="0C9E2C9C"/>
    <w:rsid w:val="0CD3FCF1"/>
    <w:rsid w:val="0CDE2F9C"/>
    <w:rsid w:val="0CE08A3C"/>
    <w:rsid w:val="0CE8AC95"/>
    <w:rsid w:val="0CF1FF41"/>
    <w:rsid w:val="0CF7025C"/>
    <w:rsid w:val="0CFB5637"/>
    <w:rsid w:val="0D066FD1"/>
    <w:rsid w:val="0D0B7A17"/>
    <w:rsid w:val="0D142CD5"/>
    <w:rsid w:val="0D15DCE8"/>
    <w:rsid w:val="0D19B043"/>
    <w:rsid w:val="0D1F46B5"/>
    <w:rsid w:val="0D234268"/>
    <w:rsid w:val="0D2D25EF"/>
    <w:rsid w:val="0D2D63D7"/>
    <w:rsid w:val="0D469765"/>
    <w:rsid w:val="0D4AF001"/>
    <w:rsid w:val="0D5218A0"/>
    <w:rsid w:val="0D564CA7"/>
    <w:rsid w:val="0D5D70AE"/>
    <w:rsid w:val="0D5E37B6"/>
    <w:rsid w:val="0D648429"/>
    <w:rsid w:val="0D69A843"/>
    <w:rsid w:val="0D731003"/>
    <w:rsid w:val="0D73AB2B"/>
    <w:rsid w:val="0D81D5F0"/>
    <w:rsid w:val="0D8349BA"/>
    <w:rsid w:val="0D8B7651"/>
    <w:rsid w:val="0D9ED4E1"/>
    <w:rsid w:val="0D9ED5D9"/>
    <w:rsid w:val="0DA7F616"/>
    <w:rsid w:val="0DAF4BE3"/>
    <w:rsid w:val="0DC4D5E6"/>
    <w:rsid w:val="0DD44710"/>
    <w:rsid w:val="0DDE5C8F"/>
    <w:rsid w:val="0DE7E547"/>
    <w:rsid w:val="0DEB3F46"/>
    <w:rsid w:val="0DF8A7C3"/>
    <w:rsid w:val="0DFAE686"/>
    <w:rsid w:val="0E0C2CF0"/>
    <w:rsid w:val="0E0F131E"/>
    <w:rsid w:val="0E1A179E"/>
    <w:rsid w:val="0E1DABC4"/>
    <w:rsid w:val="0E1E0CBB"/>
    <w:rsid w:val="0E1EBBFE"/>
    <w:rsid w:val="0E200D9A"/>
    <w:rsid w:val="0E24ADB3"/>
    <w:rsid w:val="0E2BBD8E"/>
    <w:rsid w:val="0E2EAB9E"/>
    <w:rsid w:val="0E34457E"/>
    <w:rsid w:val="0E3511D8"/>
    <w:rsid w:val="0E384D15"/>
    <w:rsid w:val="0E5057DE"/>
    <w:rsid w:val="0E535552"/>
    <w:rsid w:val="0E56A03B"/>
    <w:rsid w:val="0E5C634F"/>
    <w:rsid w:val="0E5EB39A"/>
    <w:rsid w:val="0E66A025"/>
    <w:rsid w:val="0E7E4A77"/>
    <w:rsid w:val="0E819887"/>
    <w:rsid w:val="0E99F69B"/>
    <w:rsid w:val="0E9EBB1B"/>
    <w:rsid w:val="0EA383F8"/>
    <w:rsid w:val="0EA5D807"/>
    <w:rsid w:val="0EA794B4"/>
    <w:rsid w:val="0EC7C1B6"/>
    <w:rsid w:val="0ECA2514"/>
    <w:rsid w:val="0ED2F0B3"/>
    <w:rsid w:val="0ED60332"/>
    <w:rsid w:val="0ED74784"/>
    <w:rsid w:val="0ED92904"/>
    <w:rsid w:val="0EDF487D"/>
    <w:rsid w:val="0EE002D3"/>
    <w:rsid w:val="0EF3552F"/>
    <w:rsid w:val="0EF62A0E"/>
    <w:rsid w:val="0EF85F0D"/>
    <w:rsid w:val="0F04287B"/>
    <w:rsid w:val="0F0570C9"/>
    <w:rsid w:val="0F1ACE6A"/>
    <w:rsid w:val="0F234EED"/>
    <w:rsid w:val="0F2413C3"/>
    <w:rsid w:val="0F273827"/>
    <w:rsid w:val="0F293042"/>
    <w:rsid w:val="0F2E528B"/>
    <w:rsid w:val="0F2F22B0"/>
    <w:rsid w:val="0F30195D"/>
    <w:rsid w:val="0F32F38E"/>
    <w:rsid w:val="0F368111"/>
    <w:rsid w:val="0F39B75C"/>
    <w:rsid w:val="0F4503F9"/>
    <w:rsid w:val="0F457DEE"/>
    <w:rsid w:val="0F4593CF"/>
    <w:rsid w:val="0F479252"/>
    <w:rsid w:val="0F4FB5AC"/>
    <w:rsid w:val="0F508543"/>
    <w:rsid w:val="0F52226D"/>
    <w:rsid w:val="0F53DDE3"/>
    <w:rsid w:val="0F56801F"/>
    <w:rsid w:val="0F5BD626"/>
    <w:rsid w:val="0F63BCBF"/>
    <w:rsid w:val="0F63EBA1"/>
    <w:rsid w:val="0F6D0CE2"/>
    <w:rsid w:val="0F77BEB2"/>
    <w:rsid w:val="0F781E01"/>
    <w:rsid w:val="0F7A4D45"/>
    <w:rsid w:val="0F83E704"/>
    <w:rsid w:val="0F8B24D7"/>
    <w:rsid w:val="0F9C347F"/>
    <w:rsid w:val="0F9C927F"/>
    <w:rsid w:val="0FA78C85"/>
    <w:rsid w:val="0FB40D29"/>
    <w:rsid w:val="0FB84C69"/>
    <w:rsid w:val="0FB905CD"/>
    <w:rsid w:val="0FB9B8EF"/>
    <w:rsid w:val="0FBA7571"/>
    <w:rsid w:val="0FBF68AF"/>
    <w:rsid w:val="0FBF8886"/>
    <w:rsid w:val="0FC5CBC4"/>
    <w:rsid w:val="0FC86B7E"/>
    <w:rsid w:val="0FD49531"/>
    <w:rsid w:val="0FDBEB2B"/>
    <w:rsid w:val="0FDC12FF"/>
    <w:rsid w:val="0FDEF10C"/>
    <w:rsid w:val="0FDF1DA4"/>
    <w:rsid w:val="0FE2B69D"/>
    <w:rsid w:val="0FE79911"/>
    <w:rsid w:val="0FEAB267"/>
    <w:rsid w:val="0FEEA5F9"/>
    <w:rsid w:val="0FF50377"/>
    <w:rsid w:val="0FFB6AE2"/>
    <w:rsid w:val="100DED34"/>
    <w:rsid w:val="1010515E"/>
    <w:rsid w:val="10170754"/>
    <w:rsid w:val="1018D65C"/>
    <w:rsid w:val="10386C6D"/>
    <w:rsid w:val="103A9203"/>
    <w:rsid w:val="103C11E4"/>
    <w:rsid w:val="1057F26F"/>
    <w:rsid w:val="10621CFA"/>
    <w:rsid w:val="106A97FF"/>
    <w:rsid w:val="106D1D87"/>
    <w:rsid w:val="1086BDD5"/>
    <w:rsid w:val="108B4D18"/>
    <w:rsid w:val="108DC5BC"/>
    <w:rsid w:val="10911627"/>
    <w:rsid w:val="10A2E8A8"/>
    <w:rsid w:val="10B92139"/>
    <w:rsid w:val="10C3CB71"/>
    <w:rsid w:val="10C6ECD7"/>
    <w:rsid w:val="10DDEB31"/>
    <w:rsid w:val="10E0700F"/>
    <w:rsid w:val="10E2716C"/>
    <w:rsid w:val="10F1EB95"/>
    <w:rsid w:val="10F7411A"/>
    <w:rsid w:val="10F7591B"/>
    <w:rsid w:val="10FDB7C6"/>
    <w:rsid w:val="11081060"/>
    <w:rsid w:val="110AF3D4"/>
    <w:rsid w:val="110E615D"/>
    <w:rsid w:val="1110F496"/>
    <w:rsid w:val="112DC0FA"/>
    <w:rsid w:val="11399488"/>
    <w:rsid w:val="1143A995"/>
    <w:rsid w:val="11462A97"/>
    <w:rsid w:val="114819B9"/>
    <w:rsid w:val="1148815D"/>
    <w:rsid w:val="114BB81B"/>
    <w:rsid w:val="114CF309"/>
    <w:rsid w:val="1153B640"/>
    <w:rsid w:val="115E09A7"/>
    <w:rsid w:val="115EED52"/>
    <w:rsid w:val="11666DE7"/>
    <w:rsid w:val="11669453"/>
    <w:rsid w:val="116AC238"/>
    <w:rsid w:val="11737BD4"/>
    <w:rsid w:val="1178726F"/>
    <w:rsid w:val="117981F4"/>
    <w:rsid w:val="1185ED6B"/>
    <w:rsid w:val="118AD129"/>
    <w:rsid w:val="119D8231"/>
    <w:rsid w:val="11A58DA7"/>
    <w:rsid w:val="11A82349"/>
    <w:rsid w:val="11AF18A0"/>
    <w:rsid w:val="11B6F44B"/>
    <w:rsid w:val="11C520C3"/>
    <w:rsid w:val="11CAF920"/>
    <w:rsid w:val="11D9011F"/>
    <w:rsid w:val="11DB4A50"/>
    <w:rsid w:val="11F09180"/>
    <w:rsid w:val="11F41600"/>
    <w:rsid w:val="11FD3288"/>
    <w:rsid w:val="12027B82"/>
    <w:rsid w:val="12151F29"/>
    <w:rsid w:val="12216A21"/>
    <w:rsid w:val="12217FE1"/>
    <w:rsid w:val="1224F0D3"/>
    <w:rsid w:val="12269B2E"/>
    <w:rsid w:val="1234A81C"/>
    <w:rsid w:val="12529670"/>
    <w:rsid w:val="125A12AE"/>
    <w:rsid w:val="125F2FA4"/>
    <w:rsid w:val="12671265"/>
    <w:rsid w:val="1268BEAD"/>
    <w:rsid w:val="126F6A39"/>
    <w:rsid w:val="1273DD32"/>
    <w:rsid w:val="127B1CF1"/>
    <w:rsid w:val="127BE72A"/>
    <w:rsid w:val="127F5913"/>
    <w:rsid w:val="1288B452"/>
    <w:rsid w:val="129E5177"/>
    <w:rsid w:val="129F97C4"/>
    <w:rsid w:val="12A71821"/>
    <w:rsid w:val="12ADB59C"/>
    <w:rsid w:val="12B1640C"/>
    <w:rsid w:val="12B820E8"/>
    <w:rsid w:val="12C2BBE0"/>
    <w:rsid w:val="12C4DA28"/>
    <w:rsid w:val="12C633F1"/>
    <w:rsid w:val="12CAE9F6"/>
    <w:rsid w:val="12CB14BC"/>
    <w:rsid w:val="12D12FFF"/>
    <w:rsid w:val="12DA9136"/>
    <w:rsid w:val="12DB4D86"/>
    <w:rsid w:val="12DED82A"/>
    <w:rsid w:val="131A381A"/>
    <w:rsid w:val="131C15F9"/>
    <w:rsid w:val="131CE500"/>
    <w:rsid w:val="131DA2E8"/>
    <w:rsid w:val="13203249"/>
    <w:rsid w:val="1325EFF5"/>
    <w:rsid w:val="1328E109"/>
    <w:rsid w:val="132A29C6"/>
    <w:rsid w:val="1335191A"/>
    <w:rsid w:val="133DCC57"/>
    <w:rsid w:val="13409CF5"/>
    <w:rsid w:val="134B1BEF"/>
    <w:rsid w:val="1352C4AC"/>
    <w:rsid w:val="13594447"/>
    <w:rsid w:val="135D09D4"/>
    <w:rsid w:val="137757BD"/>
    <w:rsid w:val="13793442"/>
    <w:rsid w:val="1385F645"/>
    <w:rsid w:val="138AEAC3"/>
    <w:rsid w:val="1394A0DD"/>
    <w:rsid w:val="1394A3C4"/>
    <w:rsid w:val="13A39FEE"/>
    <w:rsid w:val="13AB3BC3"/>
    <w:rsid w:val="13B58BD1"/>
    <w:rsid w:val="13B715DB"/>
    <w:rsid w:val="13BC55F3"/>
    <w:rsid w:val="13C9B847"/>
    <w:rsid w:val="13CBEE52"/>
    <w:rsid w:val="13D212CF"/>
    <w:rsid w:val="13DA9EB2"/>
    <w:rsid w:val="13DDEEB6"/>
    <w:rsid w:val="13E217C7"/>
    <w:rsid w:val="13E39EC3"/>
    <w:rsid w:val="13E7B159"/>
    <w:rsid w:val="13EB772A"/>
    <w:rsid w:val="13F56BC7"/>
    <w:rsid w:val="13F59CC9"/>
    <w:rsid w:val="1405EDFF"/>
    <w:rsid w:val="14152FF2"/>
    <w:rsid w:val="1415653E"/>
    <w:rsid w:val="141897E4"/>
    <w:rsid w:val="1418EF11"/>
    <w:rsid w:val="142BC873"/>
    <w:rsid w:val="1436E942"/>
    <w:rsid w:val="14400331"/>
    <w:rsid w:val="144ABAD9"/>
    <w:rsid w:val="145607CE"/>
    <w:rsid w:val="145A20B3"/>
    <w:rsid w:val="145C18F9"/>
    <w:rsid w:val="146A5245"/>
    <w:rsid w:val="146F2D71"/>
    <w:rsid w:val="146F9313"/>
    <w:rsid w:val="1473A847"/>
    <w:rsid w:val="14798812"/>
    <w:rsid w:val="1482BB90"/>
    <w:rsid w:val="148AA619"/>
    <w:rsid w:val="14935E50"/>
    <w:rsid w:val="14998F57"/>
    <w:rsid w:val="149A2790"/>
    <w:rsid w:val="149CA17E"/>
    <w:rsid w:val="14A4CD82"/>
    <w:rsid w:val="14ACC8F2"/>
    <w:rsid w:val="14ADE67D"/>
    <w:rsid w:val="14AF816E"/>
    <w:rsid w:val="14B194AA"/>
    <w:rsid w:val="14B4915A"/>
    <w:rsid w:val="14B4988D"/>
    <w:rsid w:val="14BB17A3"/>
    <w:rsid w:val="14BC2FF2"/>
    <w:rsid w:val="14C481B1"/>
    <w:rsid w:val="14C75421"/>
    <w:rsid w:val="14C98E17"/>
    <w:rsid w:val="14DC7BC4"/>
    <w:rsid w:val="14DE4306"/>
    <w:rsid w:val="14ED2999"/>
    <w:rsid w:val="14F366D6"/>
    <w:rsid w:val="15015305"/>
    <w:rsid w:val="1505A1B2"/>
    <w:rsid w:val="1507B41D"/>
    <w:rsid w:val="150A78C1"/>
    <w:rsid w:val="15233A00"/>
    <w:rsid w:val="15236CFB"/>
    <w:rsid w:val="152623FD"/>
    <w:rsid w:val="1537E91E"/>
    <w:rsid w:val="1541A305"/>
    <w:rsid w:val="15459A22"/>
    <w:rsid w:val="1553D4B6"/>
    <w:rsid w:val="1559045E"/>
    <w:rsid w:val="155D67F3"/>
    <w:rsid w:val="1588C7DC"/>
    <w:rsid w:val="15AB057B"/>
    <w:rsid w:val="15B736C5"/>
    <w:rsid w:val="15C17CAA"/>
    <w:rsid w:val="15C20BCF"/>
    <w:rsid w:val="15D1C72C"/>
    <w:rsid w:val="15D5C72F"/>
    <w:rsid w:val="15DBD584"/>
    <w:rsid w:val="15DBE14D"/>
    <w:rsid w:val="15E02ECC"/>
    <w:rsid w:val="15EC9B9E"/>
    <w:rsid w:val="15F7FAB7"/>
    <w:rsid w:val="15F9D5A2"/>
    <w:rsid w:val="15FD80CE"/>
    <w:rsid w:val="1600F721"/>
    <w:rsid w:val="160CB3D4"/>
    <w:rsid w:val="1611EF39"/>
    <w:rsid w:val="161D13DB"/>
    <w:rsid w:val="161EDF22"/>
    <w:rsid w:val="162C6CC9"/>
    <w:rsid w:val="162F9262"/>
    <w:rsid w:val="16309A65"/>
    <w:rsid w:val="163E480A"/>
    <w:rsid w:val="1647D81F"/>
    <w:rsid w:val="16490455"/>
    <w:rsid w:val="1658B6B8"/>
    <w:rsid w:val="165B891B"/>
    <w:rsid w:val="165F0430"/>
    <w:rsid w:val="1663FC8D"/>
    <w:rsid w:val="16670864"/>
    <w:rsid w:val="166E2BA1"/>
    <w:rsid w:val="166E3525"/>
    <w:rsid w:val="1672E2FC"/>
    <w:rsid w:val="16797FEA"/>
    <w:rsid w:val="1679E28E"/>
    <w:rsid w:val="167B7950"/>
    <w:rsid w:val="167E8C4B"/>
    <w:rsid w:val="16805B90"/>
    <w:rsid w:val="16823949"/>
    <w:rsid w:val="168A63DC"/>
    <w:rsid w:val="169DC721"/>
    <w:rsid w:val="16A40C61"/>
    <w:rsid w:val="16B32DAB"/>
    <w:rsid w:val="16B6A799"/>
    <w:rsid w:val="16BA01C4"/>
    <w:rsid w:val="16C7EA9D"/>
    <w:rsid w:val="16C98A97"/>
    <w:rsid w:val="16CC95A3"/>
    <w:rsid w:val="16CD9928"/>
    <w:rsid w:val="16D2E6A0"/>
    <w:rsid w:val="16D3A52C"/>
    <w:rsid w:val="16D592D2"/>
    <w:rsid w:val="16E04FB2"/>
    <w:rsid w:val="16E86083"/>
    <w:rsid w:val="16E99A02"/>
    <w:rsid w:val="16FAEE6B"/>
    <w:rsid w:val="16FC6D4C"/>
    <w:rsid w:val="16FE2C18"/>
    <w:rsid w:val="170AF635"/>
    <w:rsid w:val="170B0140"/>
    <w:rsid w:val="170BD70F"/>
    <w:rsid w:val="171DE9CE"/>
    <w:rsid w:val="17287F48"/>
    <w:rsid w:val="172C9979"/>
    <w:rsid w:val="17312C05"/>
    <w:rsid w:val="1734E406"/>
    <w:rsid w:val="173524CF"/>
    <w:rsid w:val="173A368A"/>
    <w:rsid w:val="1754293D"/>
    <w:rsid w:val="175C80C0"/>
    <w:rsid w:val="175D55A1"/>
    <w:rsid w:val="17601396"/>
    <w:rsid w:val="1763C4E7"/>
    <w:rsid w:val="1769BE3D"/>
    <w:rsid w:val="176A7297"/>
    <w:rsid w:val="176A9F01"/>
    <w:rsid w:val="177339B5"/>
    <w:rsid w:val="1774CDEB"/>
    <w:rsid w:val="17757973"/>
    <w:rsid w:val="177F94E7"/>
    <w:rsid w:val="17838066"/>
    <w:rsid w:val="1783EDE8"/>
    <w:rsid w:val="1785DEE3"/>
    <w:rsid w:val="178EFFC7"/>
    <w:rsid w:val="1795C5FB"/>
    <w:rsid w:val="17A1E874"/>
    <w:rsid w:val="17AF6986"/>
    <w:rsid w:val="17B12310"/>
    <w:rsid w:val="17B295E0"/>
    <w:rsid w:val="17B34E88"/>
    <w:rsid w:val="17B3BB96"/>
    <w:rsid w:val="17B6F4BE"/>
    <w:rsid w:val="17C54195"/>
    <w:rsid w:val="17C67F9C"/>
    <w:rsid w:val="17D67A42"/>
    <w:rsid w:val="17DF08D3"/>
    <w:rsid w:val="17FA4F56"/>
    <w:rsid w:val="17FB6A60"/>
    <w:rsid w:val="181371BB"/>
    <w:rsid w:val="1818024C"/>
    <w:rsid w:val="18240C98"/>
    <w:rsid w:val="182677B4"/>
    <w:rsid w:val="18274475"/>
    <w:rsid w:val="182ACEF9"/>
    <w:rsid w:val="184B0328"/>
    <w:rsid w:val="184B845C"/>
    <w:rsid w:val="1859CE6D"/>
    <w:rsid w:val="185D012E"/>
    <w:rsid w:val="185D96F8"/>
    <w:rsid w:val="18618707"/>
    <w:rsid w:val="18667C94"/>
    <w:rsid w:val="186814E7"/>
    <w:rsid w:val="187DA5DC"/>
    <w:rsid w:val="18A468B6"/>
    <w:rsid w:val="18A7B999"/>
    <w:rsid w:val="18B2AF30"/>
    <w:rsid w:val="18B41E2A"/>
    <w:rsid w:val="18B8454E"/>
    <w:rsid w:val="18BA2360"/>
    <w:rsid w:val="18BA4A50"/>
    <w:rsid w:val="18C3A2E3"/>
    <w:rsid w:val="18C77A55"/>
    <w:rsid w:val="18C81051"/>
    <w:rsid w:val="18CF8EBD"/>
    <w:rsid w:val="18D091F6"/>
    <w:rsid w:val="18D8DFC5"/>
    <w:rsid w:val="18E2ECEF"/>
    <w:rsid w:val="18E7BF1D"/>
    <w:rsid w:val="18EE0F0B"/>
    <w:rsid w:val="18EFA4E5"/>
    <w:rsid w:val="18F8F322"/>
    <w:rsid w:val="18F94F85"/>
    <w:rsid w:val="18F9BD7A"/>
    <w:rsid w:val="18FDFC1B"/>
    <w:rsid w:val="1900FEEF"/>
    <w:rsid w:val="1901DCD6"/>
    <w:rsid w:val="1906AAB0"/>
    <w:rsid w:val="191187AD"/>
    <w:rsid w:val="1921F10D"/>
    <w:rsid w:val="19269C02"/>
    <w:rsid w:val="1931F933"/>
    <w:rsid w:val="1937044C"/>
    <w:rsid w:val="193C2968"/>
    <w:rsid w:val="19439197"/>
    <w:rsid w:val="194B9FE5"/>
    <w:rsid w:val="194FA706"/>
    <w:rsid w:val="1956C296"/>
    <w:rsid w:val="19574655"/>
    <w:rsid w:val="19596BCB"/>
    <w:rsid w:val="1968630A"/>
    <w:rsid w:val="1968A178"/>
    <w:rsid w:val="196A2596"/>
    <w:rsid w:val="197A0C19"/>
    <w:rsid w:val="19862FBC"/>
    <w:rsid w:val="1987A106"/>
    <w:rsid w:val="1994E263"/>
    <w:rsid w:val="19957756"/>
    <w:rsid w:val="199A5FC3"/>
    <w:rsid w:val="19AA32CB"/>
    <w:rsid w:val="19B30247"/>
    <w:rsid w:val="19B6803B"/>
    <w:rsid w:val="19B6EE44"/>
    <w:rsid w:val="19B87613"/>
    <w:rsid w:val="19BA9D44"/>
    <w:rsid w:val="19C7BAB2"/>
    <w:rsid w:val="19D34B4B"/>
    <w:rsid w:val="19D54981"/>
    <w:rsid w:val="19E56F40"/>
    <w:rsid w:val="19E5A4EC"/>
    <w:rsid w:val="19E894F2"/>
    <w:rsid w:val="19F989F4"/>
    <w:rsid w:val="1A00591B"/>
    <w:rsid w:val="1A0EB3A1"/>
    <w:rsid w:val="1A15D019"/>
    <w:rsid w:val="1A1EFF68"/>
    <w:rsid w:val="1A3BF81B"/>
    <w:rsid w:val="1A434D9F"/>
    <w:rsid w:val="1A4624EC"/>
    <w:rsid w:val="1A463B98"/>
    <w:rsid w:val="1A4B3C19"/>
    <w:rsid w:val="1A59F483"/>
    <w:rsid w:val="1A5ED8E5"/>
    <w:rsid w:val="1A6C84C1"/>
    <w:rsid w:val="1A73DA59"/>
    <w:rsid w:val="1A748CA7"/>
    <w:rsid w:val="1A79C2DD"/>
    <w:rsid w:val="1A80B54B"/>
    <w:rsid w:val="1A8FFA93"/>
    <w:rsid w:val="1A95F930"/>
    <w:rsid w:val="1AA2C652"/>
    <w:rsid w:val="1AA3B20B"/>
    <w:rsid w:val="1AA841BD"/>
    <w:rsid w:val="1AA87A95"/>
    <w:rsid w:val="1AB06E10"/>
    <w:rsid w:val="1AB448DE"/>
    <w:rsid w:val="1AB60624"/>
    <w:rsid w:val="1ABC291B"/>
    <w:rsid w:val="1AC0A3A6"/>
    <w:rsid w:val="1AC73441"/>
    <w:rsid w:val="1AD37AA7"/>
    <w:rsid w:val="1ADC9DF5"/>
    <w:rsid w:val="1ADE2CE9"/>
    <w:rsid w:val="1AED7D17"/>
    <w:rsid w:val="1AEFD6F5"/>
    <w:rsid w:val="1AF883A4"/>
    <w:rsid w:val="1AFBC7F1"/>
    <w:rsid w:val="1AFE1519"/>
    <w:rsid w:val="1AFF05E4"/>
    <w:rsid w:val="1AFFD057"/>
    <w:rsid w:val="1B0040BB"/>
    <w:rsid w:val="1B0C321C"/>
    <w:rsid w:val="1B0D175E"/>
    <w:rsid w:val="1B19DD00"/>
    <w:rsid w:val="1B2BE77B"/>
    <w:rsid w:val="1B3F2EE0"/>
    <w:rsid w:val="1B4E5EDF"/>
    <w:rsid w:val="1B4FDCD7"/>
    <w:rsid w:val="1B539B7D"/>
    <w:rsid w:val="1B5528C5"/>
    <w:rsid w:val="1B5DB412"/>
    <w:rsid w:val="1B5FDE26"/>
    <w:rsid w:val="1B750221"/>
    <w:rsid w:val="1B7BAC64"/>
    <w:rsid w:val="1B7EFE1A"/>
    <w:rsid w:val="1B9295CC"/>
    <w:rsid w:val="1B94914A"/>
    <w:rsid w:val="1B971057"/>
    <w:rsid w:val="1B9DE341"/>
    <w:rsid w:val="1BA6EDA6"/>
    <w:rsid w:val="1BAAF457"/>
    <w:rsid w:val="1BBC8324"/>
    <w:rsid w:val="1BC25BB7"/>
    <w:rsid w:val="1BC7EE78"/>
    <w:rsid w:val="1BD19154"/>
    <w:rsid w:val="1BD70909"/>
    <w:rsid w:val="1BD8AB29"/>
    <w:rsid w:val="1BDB4FDB"/>
    <w:rsid w:val="1BDCC975"/>
    <w:rsid w:val="1BE7156E"/>
    <w:rsid w:val="1BE897BE"/>
    <w:rsid w:val="1BECEB3B"/>
    <w:rsid w:val="1BEFA28B"/>
    <w:rsid w:val="1BF23063"/>
    <w:rsid w:val="1BF662C7"/>
    <w:rsid w:val="1C03714E"/>
    <w:rsid w:val="1C05FEE9"/>
    <w:rsid w:val="1C098A0B"/>
    <w:rsid w:val="1C0F248C"/>
    <w:rsid w:val="1C123903"/>
    <w:rsid w:val="1C1795D1"/>
    <w:rsid w:val="1C1A623B"/>
    <w:rsid w:val="1C2C86FB"/>
    <w:rsid w:val="1C307EF6"/>
    <w:rsid w:val="1C31102D"/>
    <w:rsid w:val="1C3AB8A4"/>
    <w:rsid w:val="1C48D4F1"/>
    <w:rsid w:val="1C4A9882"/>
    <w:rsid w:val="1C4F8AFD"/>
    <w:rsid w:val="1C5C6526"/>
    <w:rsid w:val="1C61CFCA"/>
    <w:rsid w:val="1C647632"/>
    <w:rsid w:val="1C69027D"/>
    <w:rsid w:val="1C6D1AED"/>
    <w:rsid w:val="1C6EE5EB"/>
    <w:rsid w:val="1C704C59"/>
    <w:rsid w:val="1C707E77"/>
    <w:rsid w:val="1C741637"/>
    <w:rsid w:val="1C7470A1"/>
    <w:rsid w:val="1C787BA8"/>
    <w:rsid w:val="1C84A6C3"/>
    <w:rsid w:val="1C88452B"/>
    <w:rsid w:val="1C8A65E1"/>
    <w:rsid w:val="1C91CE1F"/>
    <w:rsid w:val="1C974FCA"/>
    <w:rsid w:val="1C999FBA"/>
    <w:rsid w:val="1CA3A82A"/>
    <w:rsid w:val="1CA68215"/>
    <w:rsid w:val="1CB1B400"/>
    <w:rsid w:val="1CB22FA4"/>
    <w:rsid w:val="1CB2EF95"/>
    <w:rsid w:val="1CB70296"/>
    <w:rsid w:val="1CC4E49D"/>
    <w:rsid w:val="1CC8931C"/>
    <w:rsid w:val="1CCFECB2"/>
    <w:rsid w:val="1CCFF1E7"/>
    <w:rsid w:val="1CD3D5B3"/>
    <w:rsid w:val="1CF822B2"/>
    <w:rsid w:val="1CFE9B8C"/>
    <w:rsid w:val="1CFEC9A7"/>
    <w:rsid w:val="1D03DD2A"/>
    <w:rsid w:val="1D1B8AF0"/>
    <w:rsid w:val="1D27CCEC"/>
    <w:rsid w:val="1D35D7E6"/>
    <w:rsid w:val="1D3B075E"/>
    <w:rsid w:val="1D4B740D"/>
    <w:rsid w:val="1D50FA59"/>
    <w:rsid w:val="1D5A51C1"/>
    <w:rsid w:val="1D5C22C1"/>
    <w:rsid w:val="1D68E03C"/>
    <w:rsid w:val="1D6B46B2"/>
    <w:rsid w:val="1D6EB016"/>
    <w:rsid w:val="1D74C909"/>
    <w:rsid w:val="1D7BE5DB"/>
    <w:rsid w:val="1D7CF50A"/>
    <w:rsid w:val="1D8C5CFD"/>
    <w:rsid w:val="1D9420DF"/>
    <w:rsid w:val="1D944273"/>
    <w:rsid w:val="1D9F99A3"/>
    <w:rsid w:val="1DA2ED51"/>
    <w:rsid w:val="1DA66F83"/>
    <w:rsid w:val="1DB6132D"/>
    <w:rsid w:val="1DBC8530"/>
    <w:rsid w:val="1DBEF317"/>
    <w:rsid w:val="1DD07417"/>
    <w:rsid w:val="1DD1A307"/>
    <w:rsid w:val="1DDE2FF7"/>
    <w:rsid w:val="1DDF02AD"/>
    <w:rsid w:val="1DEA9B34"/>
    <w:rsid w:val="1DEDDA4C"/>
    <w:rsid w:val="1E05079D"/>
    <w:rsid w:val="1E050EFC"/>
    <w:rsid w:val="1E0586B9"/>
    <w:rsid w:val="1E0590F5"/>
    <w:rsid w:val="1E0EBAA4"/>
    <w:rsid w:val="1E18A71A"/>
    <w:rsid w:val="1E18F53E"/>
    <w:rsid w:val="1E219876"/>
    <w:rsid w:val="1E2FE8B9"/>
    <w:rsid w:val="1E2FE90B"/>
    <w:rsid w:val="1E3E1F43"/>
    <w:rsid w:val="1E3F6666"/>
    <w:rsid w:val="1E4886F4"/>
    <w:rsid w:val="1E49979A"/>
    <w:rsid w:val="1E4CA89F"/>
    <w:rsid w:val="1E4F398D"/>
    <w:rsid w:val="1E56834B"/>
    <w:rsid w:val="1E59C000"/>
    <w:rsid w:val="1E603EAF"/>
    <w:rsid w:val="1E616095"/>
    <w:rsid w:val="1E6289BB"/>
    <w:rsid w:val="1E70D5FF"/>
    <w:rsid w:val="1E74F5B0"/>
    <w:rsid w:val="1E7D8943"/>
    <w:rsid w:val="1E85970D"/>
    <w:rsid w:val="1E88DC83"/>
    <w:rsid w:val="1E8E5E17"/>
    <w:rsid w:val="1E917EBF"/>
    <w:rsid w:val="1E97497B"/>
    <w:rsid w:val="1EAD0CF9"/>
    <w:rsid w:val="1EB03C4D"/>
    <w:rsid w:val="1EB22550"/>
    <w:rsid w:val="1EB25984"/>
    <w:rsid w:val="1EB5BD8B"/>
    <w:rsid w:val="1EBD8756"/>
    <w:rsid w:val="1EBF33A5"/>
    <w:rsid w:val="1EC46D66"/>
    <w:rsid w:val="1EC4AA28"/>
    <w:rsid w:val="1ECE94FF"/>
    <w:rsid w:val="1ED09672"/>
    <w:rsid w:val="1ED13195"/>
    <w:rsid w:val="1ED5972A"/>
    <w:rsid w:val="1EDC2948"/>
    <w:rsid w:val="1EE2A14A"/>
    <w:rsid w:val="1EE7ADFF"/>
    <w:rsid w:val="1EE922AC"/>
    <w:rsid w:val="1EEA9A7F"/>
    <w:rsid w:val="1EEADEBC"/>
    <w:rsid w:val="1EF69714"/>
    <w:rsid w:val="1F0676C8"/>
    <w:rsid w:val="1F2DDB3F"/>
    <w:rsid w:val="1F32AFC2"/>
    <w:rsid w:val="1F33E25B"/>
    <w:rsid w:val="1F361569"/>
    <w:rsid w:val="1F3BF305"/>
    <w:rsid w:val="1F4C2472"/>
    <w:rsid w:val="1F514F07"/>
    <w:rsid w:val="1F53EBBF"/>
    <w:rsid w:val="1F5B033C"/>
    <w:rsid w:val="1F601559"/>
    <w:rsid w:val="1F614E8C"/>
    <w:rsid w:val="1F697B49"/>
    <w:rsid w:val="1F6D5E06"/>
    <w:rsid w:val="1F6E8CA3"/>
    <w:rsid w:val="1F75EEF8"/>
    <w:rsid w:val="1F802D64"/>
    <w:rsid w:val="1F863348"/>
    <w:rsid w:val="1F94D87F"/>
    <w:rsid w:val="1F96B244"/>
    <w:rsid w:val="1FB12512"/>
    <w:rsid w:val="1FC727E7"/>
    <w:rsid w:val="1FCB195E"/>
    <w:rsid w:val="1FD3417A"/>
    <w:rsid w:val="1FD374B8"/>
    <w:rsid w:val="1FD800B3"/>
    <w:rsid w:val="1FD93A9C"/>
    <w:rsid w:val="1FDA2926"/>
    <w:rsid w:val="1FEC56F8"/>
    <w:rsid w:val="1FF2BB4C"/>
    <w:rsid w:val="1FF4DF93"/>
    <w:rsid w:val="20044EBB"/>
    <w:rsid w:val="20046DB0"/>
    <w:rsid w:val="2019881C"/>
    <w:rsid w:val="201C83BC"/>
    <w:rsid w:val="2028F493"/>
    <w:rsid w:val="202C780F"/>
    <w:rsid w:val="20300113"/>
    <w:rsid w:val="2045D857"/>
    <w:rsid w:val="204B78C6"/>
    <w:rsid w:val="20503B8E"/>
    <w:rsid w:val="2051F3C2"/>
    <w:rsid w:val="20561A13"/>
    <w:rsid w:val="20564B06"/>
    <w:rsid w:val="206BF53A"/>
    <w:rsid w:val="206D8ED3"/>
    <w:rsid w:val="206F0E7F"/>
    <w:rsid w:val="206FA73F"/>
    <w:rsid w:val="206FFB3F"/>
    <w:rsid w:val="2077A2B2"/>
    <w:rsid w:val="207C7908"/>
    <w:rsid w:val="20845807"/>
    <w:rsid w:val="2085173E"/>
    <w:rsid w:val="208609E5"/>
    <w:rsid w:val="2093D386"/>
    <w:rsid w:val="2097AAE3"/>
    <w:rsid w:val="2097B6A0"/>
    <w:rsid w:val="20A510EA"/>
    <w:rsid w:val="20AFED90"/>
    <w:rsid w:val="20B41B5B"/>
    <w:rsid w:val="20B480FD"/>
    <w:rsid w:val="20B62C42"/>
    <w:rsid w:val="20D4FB70"/>
    <w:rsid w:val="20DC75EB"/>
    <w:rsid w:val="20DF3FBC"/>
    <w:rsid w:val="20DFECA7"/>
    <w:rsid w:val="20E34246"/>
    <w:rsid w:val="20E7E85C"/>
    <w:rsid w:val="20EBF80B"/>
    <w:rsid w:val="20F77CB1"/>
    <w:rsid w:val="20FC4267"/>
    <w:rsid w:val="210612C5"/>
    <w:rsid w:val="210DA720"/>
    <w:rsid w:val="2123C669"/>
    <w:rsid w:val="2125CDBA"/>
    <w:rsid w:val="21342884"/>
    <w:rsid w:val="2134CBD6"/>
    <w:rsid w:val="213C90B3"/>
    <w:rsid w:val="214574FA"/>
    <w:rsid w:val="214E6170"/>
    <w:rsid w:val="215CA07B"/>
    <w:rsid w:val="2162F646"/>
    <w:rsid w:val="2163F96B"/>
    <w:rsid w:val="2164BEB0"/>
    <w:rsid w:val="21650535"/>
    <w:rsid w:val="216818AF"/>
    <w:rsid w:val="216C121D"/>
    <w:rsid w:val="2174E662"/>
    <w:rsid w:val="217C854C"/>
    <w:rsid w:val="21931622"/>
    <w:rsid w:val="2193E68E"/>
    <w:rsid w:val="21B36892"/>
    <w:rsid w:val="21B753FB"/>
    <w:rsid w:val="21B7858E"/>
    <w:rsid w:val="21BAC760"/>
    <w:rsid w:val="21BDD57C"/>
    <w:rsid w:val="21CE1E78"/>
    <w:rsid w:val="21DBF5F6"/>
    <w:rsid w:val="21E443A5"/>
    <w:rsid w:val="21E676C9"/>
    <w:rsid w:val="21ED830A"/>
    <w:rsid w:val="21F63E9A"/>
    <w:rsid w:val="221533D7"/>
    <w:rsid w:val="22182863"/>
    <w:rsid w:val="221EF085"/>
    <w:rsid w:val="22203497"/>
    <w:rsid w:val="22242E13"/>
    <w:rsid w:val="222B2813"/>
    <w:rsid w:val="222FC7D5"/>
    <w:rsid w:val="22302AED"/>
    <w:rsid w:val="2234E2F4"/>
    <w:rsid w:val="2236445F"/>
    <w:rsid w:val="223FFAE6"/>
    <w:rsid w:val="22438BC1"/>
    <w:rsid w:val="2250A4BA"/>
    <w:rsid w:val="2250ACE9"/>
    <w:rsid w:val="22602299"/>
    <w:rsid w:val="22746DDF"/>
    <w:rsid w:val="22769957"/>
    <w:rsid w:val="2280413B"/>
    <w:rsid w:val="22848D21"/>
    <w:rsid w:val="2291A4B8"/>
    <w:rsid w:val="22954890"/>
    <w:rsid w:val="22A974E0"/>
    <w:rsid w:val="22ABB563"/>
    <w:rsid w:val="22BC3A32"/>
    <w:rsid w:val="22BEB41B"/>
    <w:rsid w:val="22CDDCD0"/>
    <w:rsid w:val="22E40DB0"/>
    <w:rsid w:val="22EF164A"/>
    <w:rsid w:val="22FE6B30"/>
    <w:rsid w:val="23041AE6"/>
    <w:rsid w:val="2309B375"/>
    <w:rsid w:val="230BD962"/>
    <w:rsid w:val="2319F60E"/>
    <w:rsid w:val="23284140"/>
    <w:rsid w:val="232D500E"/>
    <w:rsid w:val="2350EA8D"/>
    <w:rsid w:val="2353245C"/>
    <w:rsid w:val="2356BF7F"/>
    <w:rsid w:val="235FDC52"/>
    <w:rsid w:val="236789E1"/>
    <w:rsid w:val="2370AC74"/>
    <w:rsid w:val="2389C8FB"/>
    <w:rsid w:val="238FB488"/>
    <w:rsid w:val="23A28B06"/>
    <w:rsid w:val="23AB9E22"/>
    <w:rsid w:val="23B7B2AE"/>
    <w:rsid w:val="23B9BBD5"/>
    <w:rsid w:val="23BD2DBE"/>
    <w:rsid w:val="23C590E4"/>
    <w:rsid w:val="23C73938"/>
    <w:rsid w:val="23D61965"/>
    <w:rsid w:val="23D9A7C5"/>
    <w:rsid w:val="23D9AA26"/>
    <w:rsid w:val="23E11970"/>
    <w:rsid w:val="23E21811"/>
    <w:rsid w:val="23E34E6F"/>
    <w:rsid w:val="24064493"/>
    <w:rsid w:val="240859FA"/>
    <w:rsid w:val="240D3406"/>
    <w:rsid w:val="240D5051"/>
    <w:rsid w:val="24121DB3"/>
    <w:rsid w:val="24137F35"/>
    <w:rsid w:val="241632DB"/>
    <w:rsid w:val="2418FFA0"/>
    <w:rsid w:val="2426A546"/>
    <w:rsid w:val="2429F274"/>
    <w:rsid w:val="242B2BB9"/>
    <w:rsid w:val="242B7B46"/>
    <w:rsid w:val="2440A5C0"/>
    <w:rsid w:val="2445FA8B"/>
    <w:rsid w:val="2449819D"/>
    <w:rsid w:val="244CD280"/>
    <w:rsid w:val="244CD916"/>
    <w:rsid w:val="244FCFB6"/>
    <w:rsid w:val="2451A0F9"/>
    <w:rsid w:val="24602CEC"/>
    <w:rsid w:val="246374C4"/>
    <w:rsid w:val="246DA878"/>
    <w:rsid w:val="24797B3B"/>
    <w:rsid w:val="248859A8"/>
    <w:rsid w:val="248DE722"/>
    <w:rsid w:val="2494E373"/>
    <w:rsid w:val="249577C6"/>
    <w:rsid w:val="24A73DF3"/>
    <w:rsid w:val="24A8C675"/>
    <w:rsid w:val="24AF1D58"/>
    <w:rsid w:val="24BB8FD0"/>
    <w:rsid w:val="24BBA3E5"/>
    <w:rsid w:val="24BEDE86"/>
    <w:rsid w:val="24BF3471"/>
    <w:rsid w:val="24C0C567"/>
    <w:rsid w:val="24C32FB1"/>
    <w:rsid w:val="24C460F2"/>
    <w:rsid w:val="24DA530B"/>
    <w:rsid w:val="24EB3687"/>
    <w:rsid w:val="24F03358"/>
    <w:rsid w:val="24F4EA86"/>
    <w:rsid w:val="24F4FD73"/>
    <w:rsid w:val="24F74CE1"/>
    <w:rsid w:val="24F9FC06"/>
    <w:rsid w:val="2503F88F"/>
    <w:rsid w:val="2506483B"/>
    <w:rsid w:val="250B221D"/>
    <w:rsid w:val="250CA65D"/>
    <w:rsid w:val="250D6B78"/>
    <w:rsid w:val="250F464E"/>
    <w:rsid w:val="251665D8"/>
    <w:rsid w:val="2520F816"/>
    <w:rsid w:val="252C7373"/>
    <w:rsid w:val="25304A32"/>
    <w:rsid w:val="2537E4A9"/>
    <w:rsid w:val="253B7546"/>
    <w:rsid w:val="253E45C2"/>
    <w:rsid w:val="25402D3A"/>
    <w:rsid w:val="25597BF3"/>
    <w:rsid w:val="255B10A5"/>
    <w:rsid w:val="255E56AF"/>
    <w:rsid w:val="25605394"/>
    <w:rsid w:val="25610620"/>
    <w:rsid w:val="25698B6C"/>
    <w:rsid w:val="257156D8"/>
    <w:rsid w:val="2573AB25"/>
    <w:rsid w:val="257C444E"/>
    <w:rsid w:val="2580049A"/>
    <w:rsid w:val="2599D7F9"/>
    <w:rsid w:val="25A556ED"/>
    <w:rsid w:val="25A8BDE2"/>
    <w:rsid w:val="25B44E72"/>
    <w:rsid w:val="25B520DE"/>
    <w:rsid w:val="25BAB161"/>
    <w:rsid w:val="25D20CD5"/>
    <w:rsid w:val="25DC7004"/>
    <w:rsid w:val="25DF9EF7"/>
    <w:rsid w:val="25E1F329"/>
    <w:rsid w:val="25E7AEE3"/>
    <w:rsid w:val="25F25EAD"/>
    <w:rsid w:val="25F9ECCB"/>
    <w:rsid w:val="25FBE648"/>
    <w:rsid w:val="25FF9C4B"/>
    <w:rsid w:val="260528CC"/>
    <w:rsid w:val="260762C2"/>
    <w:rsid w:val="260AB3A5"/>
    <w:rsid w:val="261F5C2F"/>
    <w:rsid w:val="262D4CA0"/>
    <w:rsid w:val="263BDAEF"/>
    <w:rsid w:val="26416D36"/>
    <w:rsid w:val="264282FE"/>
    <w:rsid w:val="264301A4"/>
    <w:rsid w:val="264496D6"/>
    <w:rsid w:val="2650CB50"/>
    <w:rsid w:val="265224FF"/>
    <w:rsid w:val="265287A8"/>
    <w:rsid w:val="265909F3"/>
    <w:rsid w:val="265C5B0A"/>
    <w:rsid w:val="266000C2"/>
    <w:rsid w:val="267408EB"/>
    <w:rsid w:val="2679CCC3"/>
    <w:rsid w:val="2684C82D"/>
    <w:rsid w:val="269F1AB3"/>
    <w:rsid w:val="26BD94C2"/>
    <w:rsid w:val="26C003FF"/>
    <w:rsid w:val="26C6ED36"/>
    <w:rsid w:val="26C7C3AC"/>
    <w:rsid w:val="26CED883"/>
    <w:rsid w:val="26DA8E81"/>
    <w:rsid w:val="26E7E70D"/>
    <w:rsid w:val="26ECB4AA"/>
    <w:rsid w:val="26FAAE61"/>
    <w:rsid w:val="270052F3"/>
    <w:rsid w:val="27009D9B"/>
    <w:rsid w:val="270ACCF5"/>
    <w:rsid w:val="2714B1BE"/>
    <w:rsid w:val="2716885C"/>
    <w:rsid w:val="271E812D"/>
    <w:rsid w:val="271FBC23"/>
    <w:rsid w:val="2725275A"/>
    <w:rsid w:val="272A9105"/>
    <w:rsid w:val="272CA143"/>
    <w:rsid w:val="272D4BB0"/>
    <w:rsid w:val="272FCFD2"/>
    <w:rsid w:val="273458A7"/>
    <w:rsid w:val="2737616E"/>
    <w:rsid w:val="27506376"/>
    <w:rsid w:val="275665CC"/>
    <w:rsid w:val="276E0BBA"/>
    <w:rsid w:val="277288F9"/>
    <w:rsid w:val="27780B44"/>
    <w:rsid w:val="27823AE1"/>
    <w:rsid w:val="27888670"/>
    <w:rsid w:val="27904BE9"/>
    <w:rsid w:val="279DC81A"/>
    <w:rsid w:val="279E55BA"/>
    <w:rsid w:val="27BF929C"/>
    <w:rsid w:val="27C1DC3F"/>
    <w:rsid w:val="27C316D6"/>
    <w:rsid w:val="27CF9505"/>
    <w:rsid w:val="27D48EBA"/>
    <w:rsid w:val="27D8CE6D"/>
    <w:rsid w:val="27DEFFB0"/>
    <w:rsid w:val="27DF0B9A"/>
    <w:rsid w:val="27E5DE91"/>
    <w:rsid w:val="27E74776"/>
    <w:rsid w:val="27E99DAB"/>
    <w:rsid w:val="27EB970F"/>
    <w:rsid w:val="27F49264"/>
    <w:rsid w:val="27F60AEA"/>
    <w:rsid w:val="27F7AA13"/>
    <w:rsid w:val="27FF6D09"/>
    <w:rsid w:val="2803C2EF"/>
    <w:rsid w:val="2803CAA0"/>
    <w:rsid w:val="2804BEFD"/>
    <w:rsid w:val="280986B1"/>
    <w:rsid w:val="281233E7"/>
    <w:rsid w:val="28164850"/>
    <w:rsid w:val="28181BF1"/>
    <w:rsid w:val="2819211D"/>
    <w:rsid w:val="2819B81E"/>
    <w:rsid w:val="282B1EC2"/>
    <w:rsid w:val="282E562B"/>
    <w:rsid w:val="283CB452"/>
    <w:rsid w:val="28424A52"/>
    <w:rsid w:val="284B844B"/>
    <w:rsid w:val="284D71D8"/>
    <w:rsid w:val="28636A2E"/>
    <w:rsid w:val="286FF599"/>
    <w:rsid w:val="28727C97"/>
    <w:rsid w:val="287582C3"/>
    <w:rsid w:val="287D227C"/>
    <w:rsid w:val="28838AEE"/>
    <w:rsid w:val="2886394C"/>
    <w:rsid w:val="288F25EC"/>
    <w:rsid w:val="289A1428"/>
    <w:rsid w:val="289E3464"/>
    <w:rsid w:val="28B34D98"/>
    <w:rsid w:val="28B73799"/>
    <w:rsid w:val="28BD6992"/>
    <w:rsid w:val="28BDFC6E"/>
    <w:rsid w:val="28C14169"/>
    <w:rsid w:val="28C1468C"/>
    <w:rsid w:val="28C36D09"/>
    <w:rsid w:val="28C88C75"/>
    <w:rsid w:val="28CF2C8D"/>
    <w:rsid w:val="28D434CB"/>
    <w:rsid w:val="28DA747F"/>
    <w:rsid w:val="28DCF7AF"/>
    <w:rsid w:val="28DFC72C"/>
    <w:rsid w:val="28E17BB0"/>
    <w:rsid w:val="28F48E34"/>
    <w:rsid w:val="290B87C9"/>
    <w:rsid w:val="291476D1"/>
    <w:rsid w:val="2921AD85"/>
    <w:rsid w:val="29245F63"/>
    <w:rsid w:val="2926AD67"/>
    <w:rsid w:val="29295373"/>
    <w:rsid w:val="292D1E77"/>
    <w:rsid w:val="293500BD"/>
    <w:rsid w:val="2936EB05"/>
    <w:rsid w:val="293F658A"/>
    <w:rsid w:val="294ADED1"/>
    <w:rsid w:val="294D661E"/>
    <w:rsid w:val="294D7C17"/>
    <w:rsid w:val="29538314"/>
    <w:rsid w:val="29598AAF"/>
    <w:rsid w:val="2961BF8D"/>
    <w:rsid w:val="296B5B1D"/>
    <w:rsid w:val="296DAAF2"/>
    <w:rsid w:val="296DEB58"/>
    <w:rsid w:val="29705C42"/>
    <w:rsid w:val="297178EC"/>
    <w:rsid w:val="297F0918"/>
    <w:rsid w:val="2985D730"/>
    <w:rsid w:val="298D06CA"/>
    <w:rsid w:val="298E1473"/>
    <w:rsid w:val="299420A4"/>
    <w:rsid w:val="29979E05"/>
    <w:rsid w:val="2997B9B8"/>
    <w:rsid w:val="2997C1AC"/>
    <w:rsid w:val="299C794A"/>
    <w:rsid w:val="299EDAA8"/>
    <w:rsid w:val="299F041A"/>
    <w:rsid w:val="29AE767E"/>
    <w:rsid w:val="29B03E25"/>
    <w:rsid w:val="29C372A5"/>
    <w:rsid w:val="29C8385E"/>
    <w:rsid w:val="29CD0A56"/>
    <w:rsid w:val="29CF31FC"/>
    <w:rsid w:val="29DD1E94"/>
    <w:rsid w:val="29DD4284"/>
    <w:rsid w:val="29DE9340"/>
    <w:rsid w:val="29E878ED"/>
    <w:rsid w:val="29EE45AF"/>
    <w:rsid w:val="29F03FF7"/>
    <w:rsid w:val="2A014954"/>
    <w:rsid w:val="2A032942"/>
    <w:rsid w:val="2A033642"/>
    <w:rsid w:val="2A1202B1"/>
    <w:rsid w:val="2A134919"/>
    <w:rsid w:val="2A17F88E"/>
    <w:rsid w:val="2A18F4BC"/>
    <w:rsid w:val="2A20C1B9"/>
    <w:rsid w:val="2A3022DC"/>
    <w:rsid w:val="2A30F736"/>
    <w:rsid w:val="2A32C836"/>
    <w:rsid w:val="2A3E3C22"/>
    <w:rsid w:val="2A44117A"/>
    <w:rsid w:val="2A4A0C1A"/>
    <w:rsid w:val="2A4EEA2A"/>
    <w:rsid w:val="2A57781D"/>
    <w:rsid w:val="2A580BBA"/>
    <w:rsid w:val="2A582F1E"/>
    <w:rsid w:val="2A5C0204"/>
    <w:rsid w:val="2A6FB786"/>
    <w:rsid w:val="2A707841"/>
    <w:rsid w:val="2A71F6B6"/>
    <w:rsid w:val="2A78143F"/>
    <w:rsid w:val="2A7C9DF3"/>
    <w:rsid w:val="2A873218"/>
    <w:rsid w:val="2A8A73A7"/>
    <w:rsid w:val="2A97C904"/>
    <w:rsid w:val="2A998B36"/>
    <w:rsid w:val="2A9E12A7"/>
    <w:rsid w:val="2A9F507E"/>
    <w:rsid w:val="2AA75997"/>
    <w:rsid w:val="2AA9C93B"/>
    <w:rsid w:val="2AB75556"/>
    <w:rsid w:val="2ABBCA1E"/>
    <w:rsid w:val="2AC91358"/>
    <w:rsid w:val="2ACB75FD"/>
    <w:rsid w:val="2ADA801E"/>
    <w:rsid w:val="2ADB03B9"/>
    <w:rsid w:val="2ADFBB88"/>
    <w:rsid w:val="2AE2B486"/>
    <w:rsid w:val="2AF1AF4B"/>
    <w:rsid w:val="2AF2CA24"/>
    <w:rsid w:val="2AF330F4"/>
    <w:rsid w:val="2AF4AEAA"/>
    <w:rsid w:val="2B00CF06"/>
    <w:rsid w:val="2B0479A8"/>
    <w:rsid w:val="2B130AB8"/>
    <w:rsid w:val="2B15B3BC"/>
    <w:rsid w:val="2B176E0F"/>
    <w:rsid w:val="2B18C22F"/>
    <w:rsid w:val="2B1D7345"/>
    <w:rsid w:val="2B2D441D"/>
    <w:rsid w:val="2B32E794"/>
    <w:rsid w:val="2B32F351"/>
    <w:rsid w:val="2B42362D"/>
    <w:rsid w:val="2B462FD5"/>
    <w:rsid w:val="2B48188A"/>
    <w:rsid w:val="2B49706A"/>
    <w:rsid w:val="2B4BC0A4"/>
    <w:rsid w:val="2B582F32"/>
    <w:rsid w:val="2B5D749F"/>
    <w:rsid w:val="2B6526AD"/>
    <w:rsid w:val="2B68F9FA"/>
    <w:rsid w:val="2B6B359D"/>
    <w:rsid w:val="2B6DAD27"/>
    <w:rsid w:val="2B6E52CE"/>
    <w:rsid w:val="2B746C2F"/>
    <w:rsid w:val="2B75716B"/>
    <w:rsid w:val="2B85813F"/>
    <w:rsid w:val="2B8B8F0B"/>
    <w:rsid w:val="2B8E165C"/>
    <w:rsid w:val="2B8F854F"/>
    <w:rsid w:val="2B9151C5"/>
    <w:rsid w:val="2B93265C"/>
    <w:rsid w:val="2B9B8173"/>
    <w:rsid w:val="2B9E0A43"/>
    <w:rsid w:val="2BABDED1"/>
    <w:rsid w:val="2BB22862"/>
    <w:rsid w:val="2BB3D04C"/>
    <w:rsid w:val="2BBA37CB"/>
    <w:rsid w:val="2BBEBCC7"/>
    <w:rsid w:val="2BC04325"/>
    <w:rsid w:val="2BC149E5"/>
    <w:rsid w:val="2BC374EB"/>
    <w:rsid w:val="2BCBC9B9"/>
    <w:rsid w:val="2BCEA5BE"/>
    <w:rsid w:val="2BE02716"/>
    <w:rsid w:val="2BEAF8F2"/>
    <w:rsid w:val="2BF711BC"/>
    <w:rsid w:val="2BFB7014"/>
    <w:rsid w:val="2C04DC5E"/>
    <w:rsid w:val="2C04F897"/>
    <w:rsid w:val="2C0D7D40"/>
    <w:rsid w:val="2C0E52CF"/>
    <w:rsid w:val="2C135117"/>
    <w:rsid w:val="2C15A12E"/>
    <w:rsid w:val="2C201E1D"/>
    <w:rsid w:val="2C27E1B3"/>
    <w:rsid w:val="2C33BE9D"/>
    <w:rsid w:val="2C3F6A60"/>
    <w:rsid w:val="2C645108"/>
    <w:rsid w:val="2C64BF39"/>
    <w:rsid w:val="2C6AC687"/>
    <w:rsid w:val="2C73621A"/>
    <w:rsid w:val="2C82F800"/>
    <w:rsid w:val="2C838ACF"/>
    <w:rsid w:val="2C955232"/>
    <w:rsid w:val="2C9640A8"/>
    <w:rsid w:val="2C96D4F2"/>
    <w:rsid w:val="2C9FFD27"/>
    <w:rsid w:val="2CA089AB"/>
    <w:rsid w:val="2CBAC8D9"/>
    <w:rsid w:val="2CC1F429"/>
    <w:rsid w:val="2CC843FB"/>
    <w:rsid w:val="2CCBD6F0"/>
    <w:rsid w:val="2CD4A8A0"/>
    <w:rsid w:val="2D06519E"/>
    <w:rsid w:val="2D0D54F5"/>
    <w:rsid w:val="2D0E0B26"/>
    <w:rsid w:val="2D18786E"/>
    <w:rsid w:val="2D1A574F"/>
    <w:rsid w:val="2D2004E0"/>
    <w:rsid w:val="2D20B127"/>
    <w:rsid w:val="2D20E3F8"/>
    <w:rsid w:val="2D221C9C"/>
    <w:rsid w:val="2D24CDDE"/>
    <w:rsid w:val="2D2A342D"/>
    <w:rsid w:val="2D2DC17C"/>
    <w:rsid w:val="2D31C17E"/>
    <w:rsid w:val="2D3A5084"/>
    <w:rsid w:val="2D3AD704"/>
    <w:rsid w:val="2D48B041"/>
    <w:rsid w:val="2D51B54C"/>
    <w:rsid w:val="2D522F3E"/>
    <w:rsid w:val="2D535856"/>
    <w:rsid w:val="2D585FD6"/>
    <w:rsid w:val="2D6076A1"/>
    <w:rsid w:val="2D61A6DD"/>
    <w:rsid w:val="2D61E039"/>
    <w:rsid w:val="2D690BC9"/>
    <w:rsid w:val="2D73EFC5"/>
    <w:rsid w:val="2D8694DC"/>
    <w:rsid w:val="2D8ED96C"/>
    <w:rsid w:val="2D9893AB"/>
    <w:rsid w:val="2D9B3EE2"/>
    <w:rsid w:val="2D9C6936"/>
    <w:rsid w:val="2D9CF1C0"/>
    <w:rsid w:val="2D9E5B78"/>
    <w:rsid w:val="2DA02C78"/>
    <w:rsid w:val="2DA3642D"/>
    <w:rsid w:val="2DA6D728"/>
    <w:rsid w:val="2DA86D00"/>
    <w:rsid w:val="2DB0D02A"/>
    <w:rsid w:val="2DB58A9C"/>
    <w:rsid w:val="2DB65053"/>
    <w:rsid w:val="2DB92770"/>
    <w:rsid w:val="2DBBEF23"/>
    <w:rsid w:val="2DC190E5"/>
    <w:rsid w:val="2DCB034F"/>
    <w:rsid w:val="2DD94039"/>
    <w:rsid w:val="2DE1D49F"/>
    <w:rsid w:val="2DE2FCAA"/>
    <w:rsid w:val="2DE48E4E"/>
    <w:rsid w:val="2DEE3EE2"/>
    <w:rsid w:val="2DF7CF7A"/>
    <w:rsid w:val="2DFE093B"/>
    <w:rsid w:val="2E00ECA7"/>
    <w:rsid w:val="2E077EE6"/>
    <w:rsid w:val="2E097E68"/>
    <w:rsid w:val="2E21544B"/>
    <w:rsid w:val="2E254966"/>
    <w:rsid w:val="2E276B83"/>
    <w:rsid w:val="2E284815"/>
    <w:rsid w:val="2E29E785"/>
    <w:rsid w:val="2E2B484B"/>
    <w:rsid w:val="2E2C446A"/>
    <w:rsid w:val="2E2CD429"/>
    <w:rsid w:val="2E32C28D"/>
    <w:rsid w:val="2E373075"/>
    <w:rsid w:val="2E49DEAC"/>
    <w:rsid w:val="2E51C06F"/>
    <w:rsid w:val="2E53DD3B"/>
    <w:rsid w:val="2E56F0A4"/>
    <w:rsid w:val="2E56F633"/>
    <w:rsid w:val="2E777F82"/>
    <w:rsid w:val="2E7B211D"/>
    <w:rsid w:val="2E7E8B20"/>
    <w:rsid w:val="2E864D03"/>
    <w:rsid w:val="2E8B7428"/>
    <w:rsid w:val="2E8C4150"/>
    <w:rsid w:val="2E962DD2"/>
    <w:rsid w:val="2EAF4106"/>
    <w:rsid w:val="2EB33F74"/>
    <w:rsid w:val="2EB59AD0"/>
    <w:rsid w:val="2EBC66FB"/>
    <w:rsid w:val="2EBC78C8"/>
    <w:rsid w:val="2EBC8A89"/>
    <w:rsid w:val="2EBEABC8"/>
    <w:rsid w:val="2EC3C328"/>
    <w:rsid w:val="2EDC3EAB"/>
    <w:rsid w:val="2EDFCE69"/>
    <w:rsid w:val="2EE05B12"/>
    <w:rsid w:val="2EE9F173"/>
    <w:rsid w:val="2EEC6FF0"/>
    <w:rsid w:val="2EED475C"/>
    <w:rsid w:val="2EF19D82"/>
    <w:rsid w:val="2EF3CC80"/>
    <w:rsid w:val="2EF8DE7A"/>
    <w:rsid w:val="2EF9CB25"/>
    <w:rsid w:val="2EFA519F"/>
    <w:rsid w:val="2EFAC2AA"/>
    <w:rsid w:val="2EFBA28D"/>
    <w:rsid w:val="2F0290F9"/>
    <w:rsid w:val="2F03FE3B"/>
    <w:rsid w:val="2F062966"/>
    <w:rsid w:val="2F069254"/>
    <w:rsid w:val="2F16F4A2"/>
    <w:rsid w:val="2F1FCC39"/>
    <w:rsid w:val="2F23AB3E"/>
    <w:rsid w:val="2F27DBD4"/>
    <w:rsid w:val="2F28383B"/>
    <w:rsid w:val="2F2BAEF7"/>
    <w:rsid w:val="2F301CFF"/>
    <w:rsid w:val="2F338196"/>
    <w:rsid w:val="2F3BB71D"/>
    <w:rsid w:val="2F44655B"/>
    <w:rsid w:val="2F44BC6D"/>
    <w:rsid w:val="2F4A093C"/>
    <w:rsid w:val="2F4C3933"/>
    <w:rsid w:val="2F4D31A2"/>
    <w:rsid w:val="2F526AD9"/>
    <w:rsid w:val="2F5FAC6B"/>
    <w:rsid w:val="2F675FE0"/>
    <w:rsid w:val="2F77D627"/>
    <w:rsid w:val="2F8064BD"/>
    <w:rsid w:val="2F82006E"/>
    <w:rsid w:val="2F873BD3"/>
    <w:rsid w:val="2F8AFA7C"/>
    <w:rsid w:val="2F8DD881"/>
    <w:rsid w:val="2F8E3A93"/>
    <w:rsid w:val="2F931449"/>
    <w:rsid w:val="2F98E45E"/>
    <w:rsid w:val="2F9979FE"/>
    <w:rsid w:val="2FA94CDA"/>
    <w:rsid w:val="2FBDFA90"/>
    <w:rsid w:val="2FBE50EF"/>
    <w:rsid w:val="2FC5EE0D"/>
    <w:rsid w:val="2FC89958"/>
    <w:rsid w:val="2FC908F3"/>
    <w:rsid w:val="2FDD18A3"/>
    <w:rsid w:val="2FE036AD"/>
    <w:rsid w:val="2FE81247"/>
    <w:rsid w:val="2FEA223B"/>
    <w:rsid w:val="2FF52B19"/>
    <w:rsid w:val="2FF926D4"/>
    <w:rsid w:val="2FFAE603"/>
    <w:rsid w:val="300C05E7"/>
    <w:rsid w:val="300F1A8B"/>
    <w:rsid w:val="30101EAB"/>
    <w:rsid w:val="301054D0"/>
    <w:rsid w:val="3014939E"/>
    <w:rsid w:val="301FC49C"/>
    <w:rsid w:val="30218E8C"/>
    <w:rsid w:val="302F192A"/>
    <w:rsid w:val="30337018"/>
    <w:rsid w:val="303BCFA4"/>
    <w:rsid w:val="30422F90"/>
    <w:rsid w:val="30444E94"/>
    <w:rsid w:val="30499DCE"/>
    <w:rsid w:val="304F5904"/>
    <w:rsid w:val="3056D22E"/>
    <w:rsid w:val="30624161"/>
    <w:rsid w:val="3068ABD7"/>
    <w:rsid w:val="307277C6"/>
    <w:rsid w:val="30751CEC"/>
    <w:rsid w:val="30768DA6"/>
    <w:rsid w:val="307A9967"/>
    <w:rsid w:val="307F6D68"/>
    <w:rsid w:val="30828A9D"/>
    <w:rsid w:val="308A14DF"/>
    <w:rsid w:val="308C7C5C"/>
    <w:rsid w:val="30924223"/>
    <w:rsid w:val="309A9CA2"/>
    <w:rsid w:val="309B350C"/>
    <w:rsid w:val="30A0657D"/>
    <w:rsid w:val="30A2BAEC"/>
    <w:rsid w:val="30B24412"/>
    <w:rsid w:val="30C1BAF4"/>
    <w:rsid w:val="30C6628B"/>
    <w:rsid w:val="30CB4D28"/>
    <w:rsid w:val="30D7C463"/>
    <w:rsid w:val="30E08CCE"/>
    <w:rsid w:val="30EA9BA8"/>
    <w:rsid w:val="30F7D63A"/>
    <w:rsid w:val="31028F07"/>
    <w:rsid w:val="31042691"/>
    <w:rsid w:val="310585DB"/>
    <w:rsid w:val="3105993A"/>
    <w:rsid w:val="31071FE3"/>
    <w:rsid w:val="3107B980"/>
    <w:rsid w:val="3107D4A5"/>
    <w:rsid w:val="311150B3"/>
    <w:rsid w:val="3114B881"/>
    <w:rsid w:val="311681FA"/>
    <w:rsid w:val="311CC429"/>
    <w:rsid w:val="31273A5C"/>
    <w:rsid w:val="312C33DA"/>
    <w:rsid w:val="312D577B"/>
    <w:rsid w:val="314B9FE4"/>
    <w:rsid w:val="3153FF21"/>
    <w:rsid w:val="315537AD"/>
    <w:rsid w:val="315BC6D2"/>
    <w:rsid w:val="3160DFE6"/>
    <w:rsid w:val="31625195"/>
    <w:rsid w:val="3163EE8A"/>
    <w:rsid w:val="3167FBEE"/>
    <w:rsid w:val="316A66DD"/>
    <w:rsid w:val="316CE285"/>
    <w:rsid w:val="317378A2"/>
    <w:rsid w:val="318323BE"/>
    <w:rsid w:val="318BA74B"/>
    <w:rsid w:val="31A39729"/>
    <w:rsid w:val="31B22A67"/>
    <w:rsid w:val="31BFA1DC"/>
    <w:rsid w:val="31C7A47E"/>
    <w:rsid w:val="31CAD501"/>
    <w:rsid w:val="31D2E4D0"/>
    <w:rsid w:val="31DBD424"/>
    <w:rsid w:val="31DE4AEA"/>
    <w:rsid w:val="31DFBDC8"/>
    <w:rsid w:val="31E532DA"/>
    <w:rsid w:val="31E92C98"/>
    <w:rsid w:val="31E94992"/>
    <w:rsid w:val="31EC0CA2"/>
    <w:rsid w:val="31F1BAA2"/>
    <w:rsid w:val="31F81767"/>
    <w:rsid w:val="31F94582"/>
    <w:rsid w:val="32191326"/>
    <w:rsid w:val="321FE801"/>
    <w:rsid w:val="322AFDFD"/>
    <w:rsid w:val="322DE407"/>
    <w:rsid w:val="32303FCE"/>
    <w:rsid w:val="323E2297"/>
    <w:rsid w:val="324E9564"/>
    <w:rsid w:val="3253BE5E"/>
    <w:rsid w:val="3254C05C"/>
    <w:rsid w:val="32558B50"/>
    <w:rsid w:val="325773EB"/>
    <w:rsid w:val="32614BBB"/>
    <w:rsid w:val="326554F1"/>
    <w:rsid w:val="3267A577"/>
    <w:rsid w:val="326B7E3F"/>
    <w:rsid w:val="326D4084"/>
    <w:rsid w:val="32765573"/>
    <w:rsid w:val="327BC941"/>
    <w:rsid w:val="327DFBBA"/>
    <w:rsid w:val="327E7A18"/>
    <w:rsid w:val="327ECA20"/>
    <w:rsid w:val="32848723"/>
    <w:rsid w:val="32930E46"/>
    <w:rsid w:val="32A4E8A5"/>
    <w:rsid w:val="32AF4ACE"/>
    <w:rsid w:val="32B061BF"/>
    <w:rsid w:val="32BFE99D"/>
    <w:rsid w:val="32C2AC90"/>
    <w:rsid w:val="32C2CB0F"/>
    <w:rsid w:val="32C54DC0"/>
    <w:rsid w:val="32D303B0"/>
    <w:rsid w:val="32D4C604"/>
    <w:rsid w:val="32D5E8F4"/>
    <w:rsid w:val="32DD3FDF"/>
    <w:rsid w:val="32EABEA0"/>
    <w:rsid w:val="32EAE449"/>
    <w:rsid w:val="32EE7AB6"/>
    <w:rsid w:val="32F09720"/>
    <w:rsid w:val="32F428C0"/>
    <w:rsid w:val="32F6B7A5"/>
    <w:rsid w:val="33078AC8"/>
    <w:rsid w:val="3307A313"/>
    <w:rsid w:val="330AF6C1"/>
    <w:rsid w:val="330B34B0"/>
    <w:rsid w:val="33167AF7"/>
    <w:rsid w:val="3318388D"/>
    <w:rsid w:val="3326191D"/>
    <w:rsid w:val="332CD4F7"/>
    <w:rsid w:val="33310BCE"/>
    <w:rsid w:val="333133AB"/>
    <w:rsid w:val="33393DA6"/>
    <w:rsid w:val="333AB6CA"/>
    <w:rsid w:val="3345BE56"/>
    <w:rsid w:val="33582A8F"/>
    <w:rsid w:val="3358A643"/>
    <w:rsid w:val="335AB843"/>
    <w:rsid w:val="336F1A48"/>
    <w:rsid w:val="33757CCA"/>
    <w:rsid w:val="3384FCF9"/>
    <w:rsid w:val="338940ED"/>
    <w:rsid w:val="33A03604"/>
    <w:rsid w:val="33A0DC07"/>
    <w:rsid w:val="33A599E1"/>
    <w:rsid w:val="33A7CE8E"/>
    <w:rsid w:val="33B09F24"/>
    <w:rsid w:val="33B450DB"/>
    <w:rsid w:val="33B9DB3B"/>
    <w:rsid w:val="33C70632"/>
    <w:rsid w:val="33C7DBC4"/>
    <w:rsid w:val="33D03687"/>
    <w:rsid w:val="33D3B1EA"/>
    <w:rsid w:val="33DE12C1"/>
    <w:rsid w:val="33DE3793"/>
    <w:rsid w:val="33E8A50A"/>
    <w:rsid w:val="33EAE3D7"/>
    <w:rsid w:val="33F18664"/>
    <w:rsid w:val="33F2B95A"/>
    <w:rsid w:val="3400658D"/>
    <w:rsid w:val="340916AE"/>
    <w:rsid w:val="340E9E01"/>
    <w:rsid w:val="340EA346"/>
    <w:rsid w:val="34207602"/>
    <w:rsid w:val="342D02E4"/>
    <w:rsid w:val="34387E86"/>
    <w:rsid w:val="343FE3AE"/>
    <w:rsid w:val="3441D371"/>
    <w:rsid w:val="3441E6FB"/>
    <w:rsid w:val="3442054E"/>
    <w:rsid w:val="3443E8CA"/>
    <w:rsid w:val="344E28AB"/>
    <w:rsid w:val="34545445"/>
    <w:rsid w:val="3472265A"/>
    <w:rsid w:val="347240C1"/>
    <w:rsid w:val="3472E922"/>
    <w:rsid w:val="34749BDF"/>
    <w:rsid w:val="34750E27"/>
    <w:rsid w:val="34753619"/>
    <w:rsid w:val="348405D7"/>
    <w:rsid w:val="348754EE"/>
    <w:rsid w:val="348B1560"/>
    <w:rsid w:val="348B23CD"/>
    <w:rsid w:val="349FD546"/>
    <w:rsid w:val="34A37374"/>
    <w:rsid w:val="34A637BC"/>
    <w:rsid w:val="34B49A65"/>
    <w:rsid w:val="34B88485"/>
    <w:rsid w:val="34C30B1A"/>
    <w:rsid w:val="34C6D7C5"/>
    <w:rsid w:val="34D52CB7"/>
    <w:rsid w:val="34D7C456"/>
    <w:rsid w:val="34E46075"/>
    <w:rsid w:val="34E83792"/>
    <w:rsid w:val="34EA3833"/>
    <w:rsid w:val="34FC94E5"/>
    <w:rsid w:val="34FFAE47"/>
    <w:rsid w:val="351EBF5E"/>
    <w:rsid w:val="353D41C9"/>
    <w:rsid w:val="3541D8CB"/>
    <w:rsid w:val="355A1E5F"/>
    <w:rsid w:val="35619298"/>
    <w:rsid w:val="35691D4D"/>
    <w:rsid w:val="356B1345"/>
    <w:rsid w:val="356E59B0"/>
    <w:rsid w:val="35710ABC"/>
    <w:rsid w:val="35771BF0"/>
    <w:rsid w:val="3589D182"/>
    <w:rsid w:val="3590072F"/>
    <w:rsid w:val="359B5445"/>
    <w:rsid w:val="359D1A0E"/>
    <w:rsid w:val="35A26429"/>
    <w:rsid w:val="35B16381"/>
    <w:rsid w:val="35B9BFE4"/>
    <w:rsid w:val="35C15B99"/>
    <w:rsid w:val="35CE16E2"/>
    <w:rsid w:val="35CF9E1A"/>
    <w:rsid w:val="35D5662A"/>
    <w:rsid w:val="35DD78E4"/>
    <w:rsid w:val="35EC3C40"/>
    <w:rsid w:val="35F1124E"/>
    <w:rsid w:val="35F3F653"/>
    <w:rsid w:val="35F57251"/>
    <w:rsid w:val="35FF1108"/>
    <w:rsid w:val="36041F0C"/>
    <w:rsid w:val="36080C6F"/>
    <w:rsid w:val="360A160E"/>
    <w:rsid w:val="360BF2D1"/>
    <w:rsid w:val="360D58BD"/>
    <w:rsid w:val="3610E492"/>
    <w:rsid w:val="3612C0C9"/>
    <w:rsid w:val="36150289"/>
    <w:rsid w:val="361BE0BC"/>
    <w:rsid w:val="362AC200"/>
    <w:rsid w:val="362F7759"/>
    <w:rsid w:val="363571C5"/>
    <w:rsid w:val="364224E6"/>
    <w:rsid w:val="364C1D9D"/>
    <w:rsid w:val="364C5729"/>
    <w:rsid w:val="3654EAF7"/>
    <w:rsid w:val="3655A493"/>
    <w:rsid w:val="365A12DE"/>
    <w:rsid w:val="365A783F"/>
    <w:rsid w:val="36656E35"/>
    <w:rsid w:val="367FA405"/>
    <w:rsid w:val="3684DDDD"/>
    <w:rsid w:val="368D8E91"/>
    <w:rsid w:val="369A275A"/>
    <w:rsid w:val="369FD4C6"/>
    <w:rsid w:val="36A19AFF"/>
    <w:rsid w:val="36A50F5F"/>
    <w:rsid w:val="36AA2EDB"/>
    <w:rsid w:val="36B2662B"/>
    <w:rsid w:val="36B3CA9D"/>
    <w:rsid w:val="36B46FD6"/>
    <w:rsid w:val="36BC9DBB"/>
    <w:rsid w:val="36D5E63C"/>
    <w:rsid w:val="36D7BEB2"/>
    <w:rsid w:val="36D82D25"/>
    <w:rsid w:val="36D87CC9"/>
    <w:rsid w:val="36DA5603"/>
    <w:rsid w:val="36DACB23"/>
    <w:rsid w:val="36EA6788"/>
    <w:rsid w:val="36F28EA2"/>
    <w:rsid w:val="370E6BFA"/>
    <w:rsid w:val="3713263C"/>
    <w:rsid w:val="3715694C"/>
    <w:rsid w:val="372648B6"/>
    <w:rsid w:val="372952DA"/>
    <w:rsid w:val="37317E51"/>
    <w:rsid w:val="373FCF67"/>
    <w:rsid w:val="3747B2D0"/>
    <w:rsid w:val="3751BA39"/>
    <w:rsid w:val="375EBB49"/>
    <w:rsid w:val="3762612F"/>
    <w:rsid w:val="37769BF6"/>
    <w:rsid w:val="377987BD"/>
    <w:rsid w:val="378B6254"/>
    <w:rsid w:val="37924CA7"/>
    <w:rsid w:val="37963C32"/>
    <w:rsid w:val="37A3DB5C"/>
    <w:rsid w:val="37A81DD5"/>
    <w:rsid w:val="37AF3D10"/>
    <w:rsid w:val="37B70986"/>
    <w:rsid w:val="37C47931"/>
    <w:rsid w:val="37C5249E"/>
    <w:rsid w:val="37C9C686"/>
    <w:rsid w:val="37CB9E19"/>
    <w:rsid w:val="37D4D197"/>
    <w:rsid w:val="37DFBB71"/>
    <w:rsid w:val="37E651CE"/>
    <w:rsid w:val="37EB29D8"/>
    <w:rsid w:val="37F5BBED"/>
    <w:rsid w:val="37F8B0FD"/>
    <w:rsid w:val="37FB68B6"/>
    <w:rsid w:val="37FC09E3"/>
    <w:rsid w:val="37FF5983"/>
    <w:rsid w:val="3800E3E3"/>
    <w:rsid w:val="38021BEA"/>
    <w:rsid w:val="3803AAB1"/>
    <w:rsid w:val="3804C1E1"/>
    <w:rsid w:val="38059857"/>
    <w:rsid w:val="38085610"/>
    <w:rsid w:val="380CD474"/>
    <w:rsid w:val="380F6D32"/>
    <w:rsid w:val="38116363"/>
    <w:rsid w:val="38161F97"/>
    <w:rsid w:val="3825F405"/>
    <w:rsid w:val="382D82CB"/>
    <w:rsid w:val="383FD06C"/>
    <w:rsid w:val="3841428C"/>
    <w:rsid w:val="3844F373"/>
    <w:rsid w:val="38512DC6"/>
    <w:rsid w:val="385287A7"/>
    <w:rsid w:val="38569BC1"/>
    <w:rsid w:val="385A6AE9"/>
    <w:rsid w:val="385F2287"/>
    <w:rsid w:val="386330B8"/>
    <w:rsid w:val="38675EF9"/>
    <w:rsid w:val="3870AED5"/>
    <w:rsid w:val="3873F3CB"/>
    <w:rsid w:val="3879B864"/>
    <w:rsid w:val="387E64BB"/>
    <w:rsid w:val="38836935"/>
    <w:rsid w:val="3889FF25"/>
    <w:rsid w:val="388FC610"/>
    <w:rsid w:val="389013F2"/>
    <w:rsid w:val="3896D7B8"/>
    <w:rsid w:val="3897DE32"/>
    <w:rsid w:val="389A2E35"/>
    <w:rsid w:val="389B34D3"/>
    <w:rsid w:val="38ABCE0D"/>
    <w:rsid w:val="38B74CFB"/>
    <w:rsid w:val="38BBF12E"/>
    <w:rsid w:val="38BCD926"/>
    <w:rsid w:val="38BDCE28"/>
    <w:rsid w:val="38C804F5"/>
    <w:rsid w:val="38C97CD4"/>
    <w:rsid w:val="38C98BED"/>
    <w:rsid w:val="38CECBB7"/>
    <w:rsid w:val="38D9E491"/>
    <w:rsid w:val="38DC2BAA"/>
    <w:rsid w:val="38ED0B0C"/>
    <w:rsid w:val="38EF4B08"/>
    <w:rsid w:val="38F75764"/>
    <w:rsid w:val="38F9BD50"/>
    <w:rsid w:val="39024C8A"/>
    <w:rsid w:val="39038E65"/>
    <w:rsid w:val="3905576A"/>
    <w:rsid w:val="390714E4"/>
    <w:rsid w:val="39093D52"/>
    <w:rsid w:val="391354EC"/>
    <w:rsid w:val="39142A29"/>
    <w:rsid w:val="39159385"/>
    <w:rsid w:val="391B78A8"/>
    <w:rsid w:val="391D4CC9"/>
    <w:rsid w:val="392779E4"/>
    <w:rsid w:val="392B31A1"/>
    <w:rsid w:val="392EBDE4"/>
    <w:rsid w:val="3931FF2A"/>
    <w:rsid w:val="393263EB"/>
    <w:rsid w:val="3945049D"/>
    <w:rsid w:val="394FEB47"/>
    <w:rsid w:val="39520671"/>
    <w:rsid w:val="39540AAD"/>
    <w:rsid w:val="395B1703"/>
    <w:rsid w:val="39651C70"/>
    <w:rsid w:val="39659298"/>
    <w:rsid w:val="396EEE62"/>
    <w:rsid w:val="396F29E2"/>
    <w:rsid w:val="3972F37C"/>
    <w:rsid w:val="397454E1"/>
    <w:rsid w:val="397693A4"/>
    <w:rsid w:val="397801A3"/>
    <w:rsid w:val="3999EE26"/>
    <w:rsid w:val="399EB8CF"/>
    <w:rsid w:val="39A5DDEC"/>
    <w:rsid w:val="39B153B2"/>
    <w:rsid w:val="39B58197"/>
    <w:rsid w:val="39C397E1"/>
    <w:rsid w:val="39C75A22"/>
    <w:rsid w:val="39C95B9C"/>
    <w:rsid w:val="39CA544E"/>
    <w:rsid w:val="39D399CF"/>
    <w:rsid w:val="39D64621"/>
    <w:rsid w:val="39D8B15A"/>
    <w:rsid w:val="39D9D803"/>
    <w:rsid w:val="39DA2F90"/>
    <w:rsid w:val="39DC9F7B"/>
    <w:rsid w:val="39E4AB4B"/>
    <w:rsid w:val="39ED0C59"/>
    <w:rsid w:val="39FDEAB2"/>
    <w:rsid w:val="3A019E64"/>
    <w:rsid w:val="3A0567F1"/>
    <w:rsid w:val="3A0870AE"/>
    <w:rsid w:val="3A0BF7DE"/>
    <w:rsid w:val="3A0CAA69"/>
    <w:rsid w:val="3A0E04A6"/>
    <w:rsid w:val="3A124F9E"/>
    <w:rsid w:val="3A2212DC"/>
    <w:rsid w:val="3A24FCA7"/>
    <w:rsid w:val="3A27A8D9"/>
    <w:rsid w:val="3A2C083E"/>
    <w:rsid w:val="3A2CE48F"/>
    <w:rsid w:val="3A3F3DE9"/>
    <w:rsid w:val="3A6126B6"/>
    <w:rsid w:val="3A69D33A"/>
    <w:rsid w:val="3A69EAD6"/>
    <w:rsid w:val="3A79A340"/>
    <w:rsid w:val="3A8056CB"/>
    <w:rsid w:val="3A8C6B58"/>
    <w:rsid w:val="3A9BA4AE"/>
    <w:rsid w:val="3A9D2BD7"/>
    <w:rsid w:val="3AA38DA6"/>
    <w:rsid w:val="3AA91BE1"/>
    <w:rsid w:val="3AAB835F"/>
    <w:rsid w:val="3AC69ACC"/>
    <w:rsid w:val="3AC6E3F2"/>
    <w:rsid w:val="3ACA1C46"/>
    <w:rsid w:val="3ACA3AB1"/>
    <w:rsid w:val="3AD1AAEE"/>
    <w:rsid w:val="3AD1C295"/>
    <w:rsid w:val="3AD5418E"/>
    <w:rsid w:val="3ADE44AB"/>
    <w:rsid w:val="3AE1CB7A"/>
    <w:rsid w:val="3AEA94BA"/>
    <w:rsid w:val="3AFA41C2"/>
    <w:rsid w:val="3AFEA870"/>
    <w:rsid w:val="3B02C9FE"/>
    <w:rsid w:val="3B09F532"/>
    <w:rsid w:val="3B0DB679"/>
    <w:rsid w:val="3B1BE1F5"/>
    <w:rsid w:val="3B21C6D6"/>
    <w:rsid w:val="3B3F2EB6"/>
    <w:rsid w:val="3B40E0B9"/>
    <w:rsid w:val="3B431D5F"/>
    <w:rsid w:val="3B4D2413"/>
    <w:rsid w:val="3B5688CC"/>
    <w:rsid w:val="3B5BF6D3"/>
    <w:rsid w:val="3B5D17DC"/>
    <w:rsid w:val="3B65D344"/>
    <w:rsid w:val="3B677CAA"/>
    <w:rsid w:val="3B750C22"/>
    <w:rsid w:val="3B9D192F"/>
    <w:rsid w:val="3BADAD06"/>
    <w:rsid w:val="3BB586C1"/>
    <w:rsid w:val="3BB8C4DF"/>
    <w:rsid w:val="3BBC7252"/>
    <w:rsid w:val="3BBE7ABB"/>
    <w:rsid w:val="3BC5327C"/>
    <w:rsid w:val="3BD51521"/>
    <w:rsid w:val="3BE32CEA"/>
    <w:rsid w:val="3BE71727"/>
    <w:rsid w:val="3BEA6559"/>
    <w:rsid w:val="3BEF594E"/>
    <w:rsid w:val="3BF7C856"/>
    <w:rsid w:val="3BF8FABF"/>
    <w:rsid w:val="3BF93E88"/>
    <w:rsid w:val="3C026CD8"/>
    <w:rsid w:val="3C0DC34A"/>
    <w:rsid w:val="3C1181C1"/>
    <w:rsid w:val="3C13ABB4"/>
    <w:rsid w:val="3C291A19"/>
    <w:rsid w:val="3C48BD4D"/>
    <w:rsid w:val="3C600D4D"/>
    <w:rsid w:val="3C67C04E"/>
    <w:rsid w:val="3C6F4632"/>
    <w:rsid w:val="3C70B448"/>
    <w:rsid w:val="3C7343FE"/>
    <w:rsid w:val="3C82F2C5"/>
    <w:rsid w:val="3C8A7B19"/>
    <w:rsid w:val="3C8B6649"/>
    <w:rsid w:val="3C8DC885"/>
    <w:rsid w:val="3C8E4DB6"/>
    <w:rsid w:val="3C966CE4"/>
    <w:rsid w:val="3C9747DF"/>
    <w:rsid w:val="3C98D642"/>
    <w:rsid w:val="3C9B09BE"/>
    <w:rsid w:val="3C9DE5BF"/>
    <w:rsid w:val="3C9FD7DA"/>
    <w:rsid w:val="3CAB81D2"/>
    <w:rsid w:val="3CACAAE1"/>
    <w:rsid w:val="3CCD8334"/>
    <w:rsid w:val="3CCFD5D2"/>
    <w:rsid w:val="3CD6AE54"/>
    <w:rsid w:val="3CD87F54"/>
    <w:rsid w:val="3CE163FA"/>
    <w:rsid w:val="3CE17055"/>
    <w:rsid w:val="3CE37B7F"/>
    <w:rsid w:val="3CEDAB64"/>
    <w:rsid w:val="3CF290B0"/>
    <w:rsid w:val="3D00C00E"/>
    <w:rsid w:val="3D0C85E4"/>
    <w:rsid w:val="3D10DC83"/>
    <w:rsid w:val="3D10F175"/>
    <w:rsid w:val="3D13C6E7"/>
    <w:rsid w:val="3D1DB806"/>
    <w:rsid w:val="3D1E98FE"/>
    <w:rsid w:val="3D2404D9"/>
    <w:rsid w:val="3D271D96"/>
    <w:rsid w:val="3D2A4A56"/>
    <w:rsid w:val="3D2BDF3F"/>
    <w:rsid w:val="3D3481C0"/>
    <w:rsid w:val="3D35B756"/>
    <w:rsid w:val="3D3608A9"/>
    <w:rsid w:val="3D3BF145"/>
    <w:rsid w:val="3D3EB9B9"/>
    <w:rsid w:val="3D40223A"/>
    <w:rsid w:val="3D415590"/>
    <w:rsid w:val="3D4D800C"/>
    <w:rsid w:val="3D5678C2"/>
    <w:rsid w:val="3D5EB223"/>
    <w:rsid w:val="3D7B4E19"/>
    <w:rsid w:val="3D7DEF90"/>
    <w:rsid w:val="3D7E88B7"/>
    <w:rsid w:val="3D8E4AEE"/>
    <w:rsid w:val="3D9700C7"/>
    <w:rsid w:val="3D98519F"/>
    <w:rsid w:val="3D9E5665"/>
    <w:rsid w:val="3DA2ACF3"/>
    <w:rsid w:val="3DAD3FE5"/>
    <w:rsid w:val="3DB1EF8C"/>
    <w:rsid w:val="3DBB7C6D"/>
    <w:rsid w:val="3DC8687F"/>
    <w:rsid w:val="3DD296F6"/>
    <w:rsid w:val="3DD7873B"/>
    <w:rsid w:val="3DDDD1D2"/>
    <w:rsid w:val="3DDF51B5"/>
    <w:rsid w:val="3DE0DC34"/>
    <w:rsid w:val="3DE9BD0D"/>
    <w:rsid w:val="3DF36740"/>
    <w:rsid w:val="3DF38ACE"/>
    <w:rsid w:val="3DF5875B"/>
    <w:rsid w:val="3DF6C75E"/>
    <w:rsid w:val="3E0D7294"/>
    <w:rsid w:val="3E0E3F22"/>
    <w:rsid w:val="3E117259"/>
    <w:rsid w:val="3E275B95"/>
    <w:rsid w:val="3E2D3265"/>
    <w:rsid w:val="3E2E8C05"/>
    <w:rsid w:val="3E387E31"/>
    <w:rsid w:val="3E3DA766"/>
    <w:rsid w:val="3E440FDB"/>
    <w:rsid w:val="3E455D8C"/>
    <w:rsid w:val="3E4A73F8"/>
    <w:rsid w:val="3E4FD3D7"/>
    <w:rsid w:val="3E527DD6"/>
    <w:rsid w:val="3E53D673"/>
    <w:rsid w:val="3E596582"/>
    <w:rsid w:val="3E59760B"/>
    <w:rsid w:val="3E5F5C47"/>
    <w:rsid w:val="3E603FD9"/>
    <w:rsid w:val="3E6262DB"/>
    <w:rsid w:val="3E6C997B"/>
    <w:rsid w:val="3E6E04F0"/>
    <w:rsid w:val="3E6EBE50"/>
    <w:rsid w:val="3E6EFA7C"/>
    <w:rsid w:val="3E70E864"/>
    <w:rsid w:val="3E7977FA"/>
    <w:rsid w:val="3E7A8AED"/>
    <w:rsid w:val="3E85B8A1"/>
    <w:rsid w:val="3E9F6A12"/>
    <w:rsid w:val="3EB08410"/>
    <w:rsid w:val="3EB3CD15"/>
    <w:rsid w:val="3EC5CC4F"/>
    <w:rsid w:val="3EC69F2E"/>
    <w:rsid w:val="3EC88683"/>
    <w:rsid w:val="3EC9C176"/>
    <w:rsid w:val="3ECB7BDB"/>
    <w:rsid w:val="3ECC2F94"/>
    <w:rsid w:val="3ECD1C5A"/>
    <w:rsid w:val="3ED3E989"/>
    <w:rsid w:val="3EE542C7"/>
    <w:rsid w:val="3EF0DD26"/>
    <w:rsid w:val="3EF1FE81"/>
    <w:rsid w:val="3EF353A2"/>
    <w:rsid w:val="3EF6D173"/>
    <w:rsid w:val="3EF903AD"/>
    <w:rsid w:val="3EF940A9"/>
    <w:rsid w:val="3EFA3191"/>
    <w:rsid w:val="3F08828F"/>
    <w:rsid w:val="3F0AC2B1"/>
    <w:rsid w:val="3F0DB67D"/>
    <w:rsid w:val="3F26B85E"/>
    <w:rsid w:val="3F305473"/>
    <w:rsid w:val="3F38F846"/>
    <w:rsid w:val="3F3AADC5"/>
    <w:rsid w:val="3F429134"/>
    <w:rsid w:val="3F4DD3A1"/>
    <w:rsid w:val="3F51D681"/>
    <w:rsid w:val="3F554732"/>
    <w:rsid w:val="3F55D499"/>
    <w:rsid w:val="3F5BA012"/>
    <w:rsid w:val="3F5E6DE4"/>
    <w:rsid w:val="3F610E42"/>
    <w:rsid w:val="3F625985"/>
    <w:rsid w:val="3F632013"/>
    <w:rsid w:val="3F67C773"/>
    <w:rsid w:val="3F7510EB"/>
    <w:rsid w:val="3F77C9DA"/>
    <w:rsid w:val="3F87C966"/>
    <w:rsid w:val="3F8CD99C"/>
    <w:rsid w:val="3F8E5018"/>
    <w:rsid w:val="3F900607"/>
    <w:rsid w:val="3F9D942D"/>
    <w:rsid w:val="3FA14E17"/>
    <w:rsid w:val="3FA17956"/>
    <w:rsid w:val="3FA1F367"/>
    <w:rsid w:val="3FA25E1C"/>
    <w:rsid w:val="3FA3BD18"/>
    <w:rsid w:val="3FA53E3C"/>
    <w:rsid w:val="3FA63182"/>
    <w:rsid w:val="3FA87F2C"/>
    <w:rsid w:val="3FABF24E"/>
    <w:rsid w:val="3FBF49A9"/>
    <w:rsid w:val="3FC2A2AD"/>
    <w:rsid w:val="3FC9A4BA"/>
    <w:rsid w:val="3FCD126D"/>
    <w:rsid w:val="3FD99FB8"/>
    <w:rsid w:val="3FDB4731"/>
    <w:rsid w:val="3FEC9091"/>
    <w:rsid w:val="3FEF3C70"/>
    <w:rsid w:val="3FF2A91D"/>
    <w:rsid w:val="4009189D"/>
    <w:rsid w:val="400E700B"/>
    <w:rsid w:val="403286D5"/>
    <w:rsid w:val="4032C948"/>
    <w:rsid w:val="403916A0"/>
    <w:rsid w:val="40403855"/>
    <w:rsid w:val="4047F983"/>
    <w:rsid w:val="4048734C"/>
    <w:rsid w:val="40487D45"/>
    <w:rsid w:val="404BB813"/>
    <w:rsid w:val="404E0F8C"/>
    <w:rsid w:val="405C3D9D"/>
    <w:rsid w:val="4062974E"/>
    <w:rsid w:val="40638001"/>
    <w:rsid w:val="406F9319"/>
    <w:rsid w:val="40733AA1"/>
    <w:rsid w:val="407345BF"/>
    <w:rsid w:val="4079021C"/>
    <w:rsid w:val="407BC3B4"/>
    <w:rsid w:val="407C6B62"/>
    <w:rsid w:val="4081948A"/>
    <w:rsid w:val="40830EE7"/>
    <w:rsid w:val="409FB4E5"/>
    <w:rsid w:val="40A0FE60"/>
    <w:rsid w:val="40A23ACC"/>
    <w:rsid w:val="40B36FD1"/>
    <w:rsid w:val="40C5FEB1"/>
    <w:rsid w:val="40C6FE24"/>
    <w:rsid w:val="40C8E8CD"/>
    <w:rsid w:val="40EC3E50"/>
    <w:rsid w:val="40ED0899"/>
    <w:rsid w:val="40F1AFAA"/>
    <w:rsid w:val="40F72450"/>
    <w:rsid w:val="40F84607"/>
    <w:rsid w:val="40FC2398"/>
    <w:rsid w:val="4102D5E1"/>
    <w:rsid w:val="41061C47"/>
    <w:rsid w:val="41096E1C"/>
    <w:rsid w:val="4110AB35"/>
    <w:rsid w:val="411190C4"/>
    <w:rsid w:val="41144A74"/>
    <w:rsid w:val="411D8953"/>
    <w:rsid w:val="411F2828"/>
    <w:rsid w:val="4124CAFC"/>
    <w:rsid w:val="413B1177"/>
    <w:rsid w:val="413CB13B"/>
    <w:rsid w:val="413FF053"/>
    <w:rsid w:val="41633682"/>
    <w:rsid w:val="416B156A"/>
    <w:rsid w:val="416BFAE7"/>
    <w:rsid w:val="416C8CC5"/>
    <w:rsid w:val="4178F0B7"/>
    <w:rsid w:val="417BF021"/>
    <w:rsid w:val="4180244A"/>
    <w:rsid w:val="4185A439"/>
    <w:rsid w:val="418F0CAA"/>
    <w:rsid w:val="418F6CB7"/>
    <w:rsid w:val="418FC3CA"/>
    <w:rsid w:val="4197E312"/>
    <w:rsid w:val="41994339"/>
    <w:rsid w:val="41A346F5"/>
    <w:rsid w:val="41A40F29"/>
    <w:rsid w:val="41A43162"/>
    <w:rsid w:val="41A651EA"/>
    <w:rsid w:val="41A7120B"/>
    <w:rsid w:val="41A7B7B2"/>
    <w:rsid w:val="41AFBFED"/>
    <w:rsid w:val="41B2A1BB"/>
    <w:rsid w:val="41B55D8B"/>
    <w:rsid w:val="41BA6D42"/>
    <w:rsid w:val="41BD8E36"/>
    <w:rsid w:val="41C7C151"/>
    <w:rsid w:val="41C882C3"/>
    <w:rsid w:val="41CF2D86"/>
    <w:rsid w:val="41DD28ED"/>
    <w:rsid w:val="41E0741E"/>
    <w:rsid w:val="41E17080"/>
    <w:rsid w:val="41E95F82"/>
    <w:rsid w:val="41FB4F0E"/>
    <w:rsid w:val="42060408"/>
    <w:rsid w:val="42152F7F"/>
    <w:rsid w:val="4215A4D5"/>
    <w:rsid w:val="42165D04"/>
    <w:rsid w:val="421D9C2D"/>
    <w:rsid w:val="4224F726"/>
    <w:rsid w:val="4229DE64"/>
    <w:rsid w:val="42382915"/>
    <w:rsid w:val="423DEDBE"/>
    <w:rsid w:val="423E5A61"/>
    <w:rsid w:val="42611207"/>
    <w:rsid w:val="426C08FE"/>
    <w:rsid w:val="427B6EB4"/>
    <w:rsid w:val="427D2004"/>
    <w:rsid w:val="4287BB09"/>
    <w:rsid w:val="4288C2E8"/>
    <w:rsid w:val="428FF373"/>
    <w:rsid w:val="429CC734"/>
    <w:rsid w:val="429D22B9"/>
    <w:rsid w:val="429FFE92"/>
    <w:rsid w:val="42A601C6"/>
    <w:rsid w:val="42A8760C"/>
    <w:rsid w:val="42AD255F"/>
    <w:rsid w:val="42B11C56"/>
    <w:rsid w:val="42C70F51"/>
    <w:rsid w:val="42C8AECF"/>
    <w:rsid w:val="42CCEF09"/>
    <w:rsid w:val="42CDC753"/>
    <w:rsid w:val="42CE5CB6"/>
    <w:rsid w:val="42D9EAF8"/>
    <w:rsid w:val="42DDE6E7"/>
    <w:rsid w:val="42EEF93F"/>
    <w:rsid w:val="42EF6CE3"/>
    <w:rsid w:val="42F64698"/>
    <w:rsid w:val="43040708"/>
    <w:rsid w:val="4306F40D"/>
    <w:rsid w:val="43081F80"/>
    <w:rsid w:val="4314C118"/>
    <w:rsid w:val="43153CCD"/>
    <w:rsid w:val="431B95C0"/>
    <w:rsid w:val="4320AA8F"/>
    <w:rsid w:val="4324900B"/>
    <w:rsid w:val="43258ABF"/>
    <w:rsid w:val="432964BB"/>
    <w:rsid w:val="432B50A3"/>
    <w:rsid w:val="4331CED3"/>
    <w:rsid w:val="43327ECB"/>
    <w:rsid w:val="4337B27A"/>
    <w:rsid w:val="434B5BD7"/>
    <w:rsid w:val="434D29DA"/>
    <w:rsid w:val="43526E2B"/>
    <w:rsid w:val="43645324"/>
    <w:rsid w:val="436A01E3"/>
    <w:rsid w:val="436A3FBE"/>
    <w:rsid w:val="43766B43"/>
    <w:rsid w:val="437719A5"/>
    <w:rsid w:val="437824D8"/>
    <w:rsid w:val="43785959"/>
    <w:rsid w:val="4378F94E"/>
    <w:rsid w:val="437A7C15"/>
    <w:rsid w:val="437D7B81"/>
    <w:rsid w:val="437E942B"/>
    <w:rsid w:val="438449DC"/>
    <w:rsid w:val="438B51A6"/>
    <w:rsid w:val="438C1DFF"/>
    <w:rsid w:val="438CC897"/>
    <w:rsid w:val="438FED24"/>
    <w:rsid w:val="439501F9"/>
    <w:rsid w:val="439E0734"/>
    <w:rsid w:val="43A2CC91"/>
    <w:rsid w:val="43C2B359"/>
    <w:rsid w:val="43C3EFC1"/>
    <w:rsid w:val="43CA355D"/>
    <w:rsid w:val="43D7D750"/>
    <w:rsid w:val="43DA3C12"/>
    <w:rsid w:val="43E8D71D"/>
    <w:rsid w:val="43F2F114"/>
    <w:rsid w:val="43F687DD"/>
    <w:rsid w:val="43F932A5"/>
    <w:rsid w:val="43FECF70"/>
    <w:rsid w:val="44031326"/>
    <w:rsid w:val="440582A0"/>
    <w:rsid w:val="44069704"/>
    <w:rsid w:val="4406C594"/>
    <w:rsid w:val="440733D2"/>
    <w:rsid w:val="44076FDA"/>
    <w:rsid w:val="440F24C6"/>
    <w:rsid w:val="44472015"/>
    <w:rsid w:val="444A8641"/>
    <w:rsid w:val="444C2DED"/>
    <w:rsid w:val="445DFA07"/>
    <w:rsid w:val="44618E6A"/>
    <w:rsid w:val="44647F30"/>
    <w:rsid w:val="4465C4FE"/>
    <w:rsid w:val="446AA9A2"/>
    <w:rsid w:val="446D4E39"/>
    <w:rsid w:val="446E8FE2"/>
    <w:rsid w:val="447E164B"/>
    <w:rsid w:val="44819D83"/>
    <w:rsid w:val="4489E1CD"/>
    <w:rsid w:val="448BCF73"/>
    <w:rsid w:val="448E7AA0"/>
    <w:rsid w:val="44928532"/>
    <w:rsid w:val="44985C67"/>
    <w:rsid w:val="449D79E5"/>
    <w:rsid w:val="449EF444"/>
    <w:rsid w:val="44AB5365"/>
    <w:rsid w:val="44B1E80A"/>
    <w:rsid w:val="44B76A14"/>
    <w:rsid w:val="44B9973E"/>
    <w:rsid w:val="44BA2EB6"/>
    <w:rsid w:val="44BB9B5C"/>
    <w:rsid w:val="44C0EC51"/>
    <w:rsid w:val="44C0F4E7"/>
    <w:rsid w:val="44C624E5"/>
    <w:rsid w:val="44C9ACE0"/>
    <w:rsid w:val="44D1BC73"/>
    <w:rsid w:val="44D28679"/>
    <w:rsid w:val="44D2ABB5"/>
    <w:rsid w:val="44D9DBCF"/>
    <w:rsid w:val="44E09808"/>
    <w:rsid w:val="44EEFA49"/>
    <w:rsid w:val="44F34502"/>
    <w:rsid w:val="44F6025C"/>
    <w:rsid w:val="44F8183E"/>
    <w:rsid w:val="44FC94F4"/>
    <w:rsid w:val="4510CFEC"/>
    <w:rsid w:val="4520347F"/>
    <w:rsid w:val="45223E9B"/>
    <w:rsid w:val="452D512D"/>
    <w:rsid w:val="4537F837"/>
    <w:rsid w:val="453C2312"/>
    <w:rsid w:val="4544E145"/>
    <w:rsid w:val="454A1B79"/>
    <w:rsid w:val="4550702A"/>
    <w:rsid w:val="45546FF0"/>
    <w:rsid w:val="4556441D"/>
    <w:rsid w:val="455704B0"/>
    <w:rsid w:val="455C51FF"/>
    <w:rsid w:val="456EE8F9"/>
    <w:rsid w:val="4573B9D0"/>
    <w:rsid w:val="457D02B0"/>
    <w:rsid w:val="458ED7A0"/>
    <w:rsid w:val="4599E521"/>
    <w:rsid w:val="459BFD10"/>
    <w:rsid w:val="459D39E0"/>
    <w:rsid w:val="45A72AC0"/>
    <w:rsid w:val="45A9BCBB"/>
    <w:rsid w:val="45ABA77D"/>
    <w:rsid w:val="45AC8634"/>
    <w:rsid w:val="45BF9D4B"/>
    <w:rsid w:val="45CA8043"/>
    <w:rsid w:val="45D42253"/>
    <w:rsid w:val="45E3D690"/>
    <w:rsid w:val="45E9CEC4"/>
    <w:rsid w:val="45E9F33C"/>
    <w:rsid w:val="45EBF7B7"/>
    <w:rsid w:val="45EC21AF"/>
    <w:rsid w:val="45F925EC"/>
    <w:rsid w:val="45FA833C"/>
    <w:rsid w:val="4601BBB9"/>
    <w:rsid w:val="4608C25E"/>
    <w:rsid w:val="460E5039"/>
    <w:rsid w:val="460F380C"/>
    <w:rsid w:val="4613EECB"/>
    <w:rsid w:val="46210E01"/>
    <w:rsid w:val="46216E8F"/>
    <w:rsid w:val="4622505A"/>
    <w:rsid w:val="462D4D29"/>
    <w:rsid w:val="46425332"/>
    <w:rsid w:val="464502C9"/>
    <w:rsid w:val="4646FF68"/>
    <w:rsid w:val="465A45C8"/>
    <w:rsid w:val="466184B0"/>
    <w:rsid w:val="4663358C"/>
    <w:rsid w:val="46688331"/>
    <w:rsid w:val="466A38E3"/>
    <w:rsid w:val="467A5747"/>
    <w:rsid w:val="467B0E51"/>
    <w:rsid w:val="468A632E"/>
    <w:rsid w:val="468FD628"/>
    <w:rsid w:val="46966709"/>
    <w:rsid w:val="46988BF2"/>
    <w:rsid w:val="469E29DC"/>
    <w:rsid w:val="46A0FE07"/>
    <w:rsid w:val="46AF1300"/>
    <w:rsid w:val="46B089F6"/>
    <w:rsid w:val="46B448C3"/>
    <w:rsid w:val="46B657E1"/>
    <w:rsid w:val="46B7E193"/>
    <w:rsid w:val="46BE769C"/>
    <w:rsid w:val="46BED712"/>
    <w:rsid w:val="46C059C0"/>
    <w:rsid w:val="46CA0F54"/>
    <w:rsid w:val="46CD476B"/>
    <w:rsid w:val="46D044BA"/>
    <w:rsid w:val="46D1F658"/>
    <w:rsid w:val="46D234C0"/>
    <w:rsid w:val="46D3585E"/>
    <w:rsid w:val="46DCD006"/>
    <w:rsid w:val="46DF735A"/>
    <w:rsid w:val="46E1A2E3"/>
    <w:rsid w:val="46F19658"/>
    <w:rsid w:val="46F7D1F8"/>
    <w:rsid w:val="46FC4A3B"/>
    <w:rsid w:val="46FDFCB0"/>
    <w:rsid w:val="47024F19"/>
    <w:rsid w:val="471DB1C0"/>
    <w:rsid w:val="47244AEF"/>
    <w:rsid w:val="47290352"/>
    <w:rsid w:val="472B3E14"/>
    <w:rsid w:val="472B4770"/>
    <w:rsid w:val="472FF95E"/>
    <w:rsid w:val="4734C590"/>
    <w:rsid w:val="4734DF9E"/>
    <w:rsid w:val="47374CB0"/>
    <w:rsid w:val="4737E428"/>
    <w:rsid w:val="47393270"/>
    <w:rsid w:val="47490943"/>
    <w:rsid w:val="4750C8CB"/>
    <w:rsid w:val="4758ED0F"/>
    <w:rsid w:val="475BB0A3"/>
    <w:rsid w:val="475DDA87"/>
    <w:rsid w:val="4765650F"/>
    <w:rsid w:val="476E31F8"/>
    <w:rsid w:val="4773E2D5"/>
    <w:rsid w:val="4774B56A"/>
    <w:rsid w:val="477C087B"/>
    <w:rsid w:val="477DD938"/>
    <w:rsid w:val="478FE307"/>
    <w:rsid w:val="479287A3"/>
    <w:rsid w:val="47979B52"/>
    <w:rsid w:val="479B3810"/>
    <w:rsid w:val="479D0B2B"/>
    <w:rsid w:val="479EE887"/>
    <w:rsid w:val="47A25431"/>
    <w:rsid w:val="47A8006F"/>
    <w:rsid w:val="47B16DB6"/>
    <w:rsid w:val="47B242F3"/>
    <w:rsid w:val="47B91213"/>
    <w:rsid w:val="47C21FF6"/>
    <w:rsid w:val="47C29466"/>
    <w:rsid w:val="47CFB2DE"/>
    <w:rsid w:val="47CFBE71"/>
    <w:rsid w:val="47D1D448"/>
    <w:rsid w:val="47D71BE1"/>
    <w:rsid w:val="47E2A886"/>
    <w:rsid w:val="47EBA007"/>
    <w:rsid w:val="47EC6A23"/>
    <w:rsid w:val="47F0EB39"/>
    <w:rsid w:val="47F13800"/>
    <w:rsid w:val="47F436F5"/>
    <w:rsid w:val="47FC1392"/>
    <w:rsid w:val="4806CA61"/>
    <w:rsid w:val="48077C87"/>
    <w:rsid w:val="480C0103"/>
    <w:rsid w:val="481100B7"/>
    <w:rsid w:val="4814872A"/>
    <w:rsid w:val="48165F8F"/>
    <w:rsid w:val="481880B9"/>
    <w:rsid w:val="483F3B5D"/>
    <w:rsid w:val="484002CF"/>
    <w:rsid w:val="484CF4B0"/>
    <w:rsid w:val="48576656"/>
    <w:rsid w:val="485E5F54"/>
    <w:rsid w:val="485F0924"/>
    <w:rsid w:val="486471D5"/>
    <w:rsid w:val="48790B56"/>
    <w:rsid w:val="487FDB8B"/>
    <w:rsid w:val="48938E8A"/>
    <w:rsid w:val="48A31BDB"/>
    <w:rsid w:val="48B10DF1"/>
    <w:rsid w:val="48B7D12B"/>
    <w:rsid w:val="48C46648"/>
    <w:rsid w:val="48CDD44C"/>
    <w:rsid w:val="48DD5D26"/>
    <w:rsid w:val="48DF6B4D"/>
    <w:rsid w:val="48E2438A"/>
    <w:rsid w:val="48E6ACD6"/>
    <w:rsid w:val="48EE1453"/>
    <w:rsid w:val="48F04A67"/>
    <w:rsid w:val="4900C9AD"/>
    <w:rsid w:val="4904213A"/>
    <w:rsid w:val="49049A18"/>
    <w:rsid w:val="490D454D"/>
    <w:rsid w:val="490EA504"/>
    <w:rsid w:val="490F6663"/>
    <w:rsid w:val="490FDE6D"/>
    <w:rsid w:val="4919A999"/>
    <w:rsid w:val="491B707C"/>
    <w:rsid w:val="492985EF"/>
    <w:rsid w:val="493692E1"/>
    <w:rsid w:val="493745F8"/>
    <w:rsid w:val="493A5263"/>
    <w:rsid w:val="493AF195"/>
    <w:rsid w:val="493F736A"/>
    <w:rsid w:val="49436D02"/>
    <w:rsid w:val="4946088E"/>
    <w:rsid w:val="494899C0"/>
    <w:rsid w:val="49575FFE"/>
    <w:rsid w:val="4962BEEF"/>
    <w:rsid w:val="49653285"/>
    <w:rsid w:val="49717236"/>
    <w:rsid w:val="4971F0F9"/>
    <w:rsid w:val="49723F83"/>
    <w:rsid w:val="49874ED4"/>
    <w:rsid w:val="4994660A"/>
    <w:rsid w:val="49A0C805"/>
    <w:rsid w:val="49A1B430"/>
    <w:rsid w:val="49A6B7CE"/>
    <w:rsid w:val="49AB96C0"/>
    <w:rsid w:val="49B78055"/>
    <w:rsid w:val="49C2071D"/>
    <w:rsid w:val="49CB223C"/>
    <w:rsid w:val="49CDAE9E"/>
    <w:rsid w:val="49D3DCEA"/>
    <w:rsid w:val="49E00995"/>
    <w:rsid w:val="49E40D4F"/>
    <w:rsid w:val="49E7AA6C"/>
    <w:rsid w:val="4A0071BE"/>
    <w:rsid w:val="4A040EB7"/>
    <w:rsid w:val="4A04529B"/>
    <w:rsid w:val="4A069FF7"/>
    <w:rsid w:val="4A0BAEBA"/>
    <w:rsid w:val="4A17C56C"/>
    <w:rsid w:val="4A2A5DE6"/>
    <w:rsid w:val="4A2EE5D6"/>
    <w:rsid w:val="4A39AFD7"/>
    <w:rsid w:val="4A3B54F5"/>
    <w:rsid w:val="4A3C43A4"/>
    <w:rsid w:val="4A47F5E8"/>
    <w:rsid w:val="4A48A633"/>
    <w:rsid w:val="4A49E80E"/>
    <w:rsid w:val="4A4A8163"/>
    <w:rsid w:val="4A4C6547"/>
    <w:rsid w:val="4A524D75"/>
    <w:rsid w:val="4A547104"/>
    <w:rsid w:val="4A595C7D"/>
    <w:rsid w:val="4A624FB1"/>
    <w:rsid w:val="4A709734"/>
    <w:rsid w:val="4A757A1B"/>
    <w:rsid w:val="4A7BE445"/>
    <w:rsid w:val="4A8352B7"/>
    <w:rsid w:val="4A85425F"/>
    <w:rsid w:val="4A9BAE94"/>
    <w:rsid w:val="4AAF3B4E"/>
    <w:rsid w:val="4AB0F004"/>
    <w:rsid w:val="4AB579FA"/>
    <w:rsid w:val="4AB696EF"/>
    <w:rsid w:val="4ABAD5B1"/>
    <w:rsid w:val="4ACA214B"/>
    <w:rsid w:val="4ACF39CF"/>
    <w:rsid w:val="4AD1FEF9"/>
    <w:rsid w:val="4AD51403"/>
    <w:rsid w:val="4ADBCD0F"/>
    <w:rsid w:val="4ADD9C5B"/>
    <w:rsid w:val="4ADEE3AF"/>
    <w:rsid w:val="4AE07FF8"/>
    <w:rsid w:val="4AE18694"/>
    <w:rsid w:val="4AF0B3D8"/>
    <w:rsid w:val="4B000C22"/>
    <w:rsid w:val="4B02CBAC"/>
    <w:rsid w:val="4B0F0260"/>
    <w:rsid w:val="4B1884B2"/>
    <w:rsid w:val="4B1A2B43"/>
    <w:rsid w:val="4B1D43E6"/>
    <w:rsid w:val="4B206969"/>
    <w:rsid w:val="4B2DE4A4"/>
    <w:rsid w:val="4B3115B7"/>
    <w:rsid w:val="4B3563F2"/>
    <w:rsid w:val="4B3741E8"/>
    <w:rsid w:val="4B37EBF9"/>
    <w:rsid w:val="4B3912E8"/>
    <w:rsid w:val="4B3DBEB5"/>
    <w:rsid w:val="4B5659EA"/>
    <w:rsid w:val="4B5AE590"/>
    <w:rsid w:val="4B5B11CA"/>
    <w:rsid w:val="4B5CB312"/>
    <w:rsid w:val="4B5D1B0D"/>
    <w:rsid w:val="4B5D5F35"/>
    <w:rsid w:val="4B6737CD"/>
    <w:rsid w:val="4B6A31F8"/>
    <w:rsid w:val="4B6D9289"/>
    <w:rsid w:val="4B73CF9C"/>
    <w:rsid w:val="4B788B53"/>
    <w:rsid w:val="4B7C38D7"/>
    <w:rsid w:val="4B7DA074"/>
    <w:rsid w:val="4B7EE833"/>
    <w:rsid w:val="4B8DF13A"/>
    <w:rsid w:val="4B8F620B"/>
    <w:rsid w:val="4BAAA289"/>
    <w:rsid w:val="4BAB1FC4"/>
    <w:rsid w:val="4BAD93F4"/>
    <w:rsid w:val="4BB0AFE4"/>
    <w:rsid w:val="4BB0B85E"/>
    <w:rsid w:val="4BBA394C"/>
    <w:rsid w:val="4BC43EE0"/>
    <w:rsid w:val="4BD095CD"/>
    <w:rsid w:val="4BD17EE2"/>
    <w:rsid w:val="4BD6F04C"/>
    <w:rsid w:val="4BE99033"/>
    <w:rsid w:val="4BEAA9BD"/>
    <w:rsid w:val="4BEE9922"/>
    <w:rsid w:val="4BF2DA21"/>
    <w:rsid w:val="4BFE068D"/>
    <w:rsid w:val="4C01D245"/>
    <w:rsid w:val="4C056683"/>
    <w:rsid w:val="4C10D4E7"/>
    <w:rsid w:val="4C13D3F8"/>
    <w:rsid w:val="4C142D03"/>
    <w:rsid w:val="4C1480DC"/>
    <w:rsid w:val="4C1AA27C"/>
    <w:rsid w:val="4C1CBA01"/>
    <w:rsid w:val="4C1E1885"/>
    <w:rsid w:val="4C20AE19"/>
    <w:rsid w:val="4C283860"/>
    <w:rsid w:val="4C32884B"/>
    <w:rsid w:val="4C3AAC07"/>
    <w:rsid w:val="4C433127"/>
    <w:rsid w:val="4C44FD1A"/>
    <w:rsid w:val="4C4505B0"/>
    <w:rsid w:val="4C4644A4"/>
    <w:rsid w:val="4C46A43B"/>
    <w:rsid w:val="4C470050"/>
    <w:rsid w:val="4C589816"/>
    <w:rsid w:val="4C5D37CD"/>
    <w:rsid w:val="4C638491"/>
    <w:rsid w:val="4C69052F"/>
    <w:rsid w:val="4C798AC0"/>
    <w:rsid w:val="4C895C35"/>
    <w:rsid w:val="4C8F098D"/>
    <w:rsid w:val="4C92E036"/>
    <w:rsid w:val="4C9FD595"/>
    <w:rsid w:val="4CA33959"/>
    <w:rsid w:val="4CA34263"/>
    <w:rsid w:val="4CA8D1F1"/>
    <w:rsid w:val="4CB2C5EB"/>
    <w:rsid w:val="4CB87E4B"/>
    <w:rsid w:val="4CBAEA8A"/>
    <w:rsid w:val="4CCFFE6A"/>
    <w:rsid w:val="4CD4A421"/>
    <w:rsid w:val="4CE30D36"/>
    <w:rsid w:val="4CE5FB74"/>
    <w:rsid w:val="4CE9BF2D"/>
    <w:rsid w:val="4CF06720"/>
    <w:rsid w:val="4CF42572"/>
    <w:rsid w:val="4CF555DE"/>
    <w:rsid w:val="4D10C983"/>
    <w:rsid w:val="4D10F725"/>
    <w:rsid w:val="4D158016"/>
    <w:rsid w:val="4D18F65F"/>
    <w:rsid w:val="4D24EC08"/>
    <w:rsid w:val="4D257671"/>
    <w:rsid w:val="4D25C028"/>
    <w:rsid w:val="4D2AD779"/>
    <w:rsid w:val="4D327441"/>
    <w:rsid w:val="4D3DCD11"/>
    <w:rsid w:val="4D3F02D6"/>
    <w:rsid w:val="4D3FD731"/>
    <w:rsid w:val="4D463EB2"/>
    <w:rsid w:val="4D5170BA"/>
    <w:rsid w:val="4D588662"/>
    <w:rsid w:val="4D626EC7"/>
    <w:rsid w:val="4D627D47"/>
    <w:rsid w:val="4D6AFBE9"/>
    <w:rsid w:val="4D863428"/>
    <w:rsid w:val="4D881495"/>
    <w:rsid w:val="4D9E7B35"/>
    <w:rsid w:val="4DAB0E31"/>
    <w:rsid w:val="4DABB933"/>
    <w:rsid w:val="4DAFA105"/>
    <w:rsid w:val="4DAFF4E5"/>
    <w:rsid w:val="4DBD3C0B"/>
    <w:rsid w:val="4DBEE72B"/>
    <w:rsid w:val="4DC1B1CE"/>
    <w:rsid w:val="4DC50501"/>
    <w:rsid w:val="4DC532AD"/>
    <w:rsid w:val="4DCA7AD3"/>
    <w:rsid w:val="4DD78665"/>
    <w:rsid w:val="4DDAF744"/>
    <w:rsid w:val="4DDCF949"/>
    <w:rsid w:val="4DDE8F81"/>
    <w:rsid w:val="4DE3D36F"/>
    <w:rsid w:val="4DE64498"/>
    <w:rsid w:val="4E00BE1B"/>
    <w:rsid w:val="4E00DB50"/>
    <w:rsid w:val="4E014FEA"/>
    <w:rsid w:val="4E022D8B"/>
    <w:rsid w:val="4E05D1D0"/>
    <w:rsid w:val="4E076715"/>
    <w:rsid w:val="4E181F56"/>
    <w:rsid w:val="4E1B7A12"/>
    <w:rsid w:val="4E24A8A8"/>
    <w:rsid w:val="4E24BD57"/>
    <w:rsid w:val="4E24F449"/>
    <w:rsid w:val="4E256208"/>
    <w:rsid w:val="4E264A5A"/>
    <w:rsid w:val="4E272EAA"/>
    <w:rsid w:val="4E2998DF"/>
    <w:rsid w:val="4E317AD2"/>
    <w:rsid w:val="4E335AB3"/>
    <w:rsid w:val="4E387CAD"/>
    <w:rsid w:val="4E3AFE09"/>
    <w:rsid w:val="4E4013E5"/>
    <w:rsid w:val="4E423B7D"/>
    <w:rsid w:val="4E483030"/>
    <w:rsid w:val="4E4C1FCE"/>
    <w:rsid w:val="4E559543"/>
    <w:rsid w:val="4E5979EE"/>
    <w:rsid w:val="4E6DA561"/>
    <w:rsid w:val="4E7818E2"/>
    <w:rsid w:val="4E78FA75"/>
    <w:rsid w:val="4E7F2A7E"/>
    <w:rsid w:val="4E87946B"/>
    <w:rsid w:val="4E8C7210"/>
    <w:rsid w:val="4E8CAE56"/>
    <w:rsid w:val="4E8E75C6"/>
    <w:rsid w:val="4E8F1F98"/>
    <w:rsid w:val="4E95A17F"/>
    <w:rsid w:val="4EA0A999"/>
    <w:rsid w:val="4EA30DD7"/>
    <w:rsid w:val="4EB6755C"/>
    <w:rsid w:val="4EB6A4F9"/>
    <w:rsid w:val="4EBDBA55"/>
    <w:rsid w:val="4EBF8B17"/>
    <w:rsid w:val="4EC5B976"/>
    <w:rsid w:val="4EC8ECD8"/>
    <w:rsid w:val="4EC905A4"/>
    <w:rsid w:val="4EDBC148"/>
    <w:rsid w:val="4EDD194C"/>
    <w:rsid w:val="4EE19B56"/>
    <w:rsid w:val="4EE3C593"/>
    <w:rsid w:val="4EE6431A"/>
    <w:rsid w:val="4EE8CA99"/>
    <w:rsid w:val="4EEEAA07"/>
    <w:rsid w:val="4EF6C625"/>
    <w:rsid w:val="4EF78B89"/>
    <w:rsid w:val="4EFA89FA"/>
    <w:rsid w:val="4F019F59"/>
    <w:rsid w:val="4F024C4A"/>
    <w:rsid w:val="4F0EA63A"/>
    <w:rsid w:val="4F0F535F"/>
    <w:rsid w:val="4F1C0442"/>
    <w:rsid w:val="4F2246B0"/>
    <w:rsid w:val="4F23F325"/>
    <w:rsid w:val="4F24DBBB"/>
    <w:rsid w:val="4F367B80"/>
    <w:rsid w:val="4F3CF8CE"/>
    <w:rsid w:val="4F433C36"/>
    <w:rsid w:val="4F43DF04"/>
    <w:rsid w:val="4F5A3664"/>
    <w:rsid w:val="4F5A5D87"/>
    <w:rsid w:val="4F67FC7A"/>
    <w:rsid w:val="4F6887C5"/>
    <w:rsid w:val="4F70291C"/>
    <w:rsid w:val="4F792DF5"/>
    <w:rsid w:val="4F7D5C36"/>
    <w:rsid w:val="4F8840BA"/>
    <w:rsid w:val="4F8BB2A3"/>
    <w:rsid w:val="4F8D525D"/>
    <w:rsid w:val="4F8D6BE2"/>
    <w:rsid w:val="4F944471"/>
    <w:rsid w:val="4F9BDD7D"/>
    <w:rsid w:val="4FA9DA15"/>
    <w:rsid w:val="4FAD8584"/>
    <w:rsid w:val="4FAE2FC9"/>
    <w:rsid w:val="4FB0466A"/>
    <w:rsid w:val="4FBA0F6F"/>
    <w:rsid w:val="4FBAEC04"/>
    <w:rsid w:val="4FC54550"/>
    <w:rsid w:val="4FCA1C4E"/>
    <w:rsid w:val="4FCBA58E"/>
    <w:rsid w:val="4FCF2C43"/>
    <w:rsid w:val="4FD44491"/>
    <w:rsid w:val="4FD55570"/>
    <w:rsid w:val="4FE570D6"/>
    <w:rsid w:val="4FE6BB04"/>
    <w:rsid w:val="4FF28EE4"/>
    <w:rsid w:val="4FF32E6A"/>
    <w:rsid w:val="50014A90"/>
    <w:rsid w:val="5009B3BC"/>
    <w:rsid w:val="500AD3E7"/>
    <w:rsid w:val="500BAD6B"/>
    <w:rsid w:val="500D8CF6"/>
    <w:rsid w:val="500EF6E4"/>
    <w:rsid w:val="501B9D69"/>
    <w:rsid w:val="501E549B"/>
    <w:rsid w:val="501F4054"/>
    <w:rsid w:val="5024BE78"/>
    <w:rsid w:val="50251DC9"/>
    <w:rsid w:val="50261762"/>
    <w:rsid w:val="5026FB09"/>
    <w:rsid w:val="502860FE"/>
    <w:rsid w:val="502D32D0"/>
    <w:rsid w:val="5040792C"/>
    <w:rsid w:val="504B9E97"/>
    <w:rsid w:val="504E4775"/>
    <w:rsid w:val="50547DCE"/>
    <w:rsid w:val="5069BC9F"/>
    <w:rsid w:val="5069DF61"/>
    <w:rsid w:val="506BC809"/>
    <w:rsid w:val="506C60C5"/>
    <w:rsid w:val="506FDE51"/>
    <w:rsid w:val="5073A8C0"/>
    <w:rsid w:val="507D13B4"/>
    <w:rsid w:val="507FD783"/>
    <w:rsid w:val="508BE51C"/>
    <w:rsid w:val="508E13EB"/>
    <w:rsid w:val="50950563"/>
    <w:rsid w:val="5099A233"/>
    <w:rsid w:val="509F1631"/>
    <w:rsid w:val="50A0E4E8"/>
    <w:rsid w:val="50B8C3F0"/>
    <w:rsid w:val="50B9FE73"/>
    <w:rsid w:val="50BF5C07"/>
    <w:rsid w:val="50C1772F"/>
    <w:rsid w:val="50C2D677"/>
    <w:rsid w:val="50E50BD8"/>
    <w:rsid w:val="50EC195F"/>
    <w:rsid w:val="50F44555"/>
    <w:rsid w:val="50F57A34"/>
    <w:rsid w:val="50F8ED2F"/>
    <w:rsid w:val="50FA48CC"/>
    <w:rsid w:val="50FC29E9"/>
    <w:rsid w:val="5103626C"/>
    <w:rsid w:val="510372A7"/>
    <w:rsid w:val="51115396"/>
    <w:rsid w:val="5115FBDD"/>
    <w:rsid w:val="51229905"/>
    <w:rsid w:val="512307B8"/>
    <w:rsid w:val="512C2D4D"/>
    <w:rsid w:val="51394D26"/>
    <w:rsid w:val="5150F478"/>
    <w:rsid w:val="51523BF8"/>
    <w:rsid w:val="51558BCF"/>
    <w:rsid w:val="5157CA92"/>
    <w:rsid w:val="515C2BE7"/>
    <w:rsid w:val="515E6B9D"/>
    <w:rsid w:val="516034FF"/>
    <w:rsid w:val="516099DC"/>
    <w:rsid w:val="517FBC32"/>
    <w:rsid w:val="51896CC7"/>
    <w:rsid w:val="518F6E0A"/>
    <w:rsid w:val="5194C80E"/>
    <w:rsid w:val="519F77EF"/>
    <w:rsid w:val="51A35FEB"/>
    <w:rsid w:val="51AB0C8B"/>
    <w:rsid w:val="51AFC6A1"/>
    <w:rsid w:val="51BDDAD0"/>
    <w:rsid w:val="51C4E4F7"/>
    <w:rsid w:val="51CD845C"/>
    <w:rsid w:val="51D41904"/>
    <w:rsid w:val="51D6FED7"/>
    <w:rsid w:val="51E59274"/>
    <w:rsid w:val="51E77963"/>
    <w:rsid w:val="51EEBB4B"/>
    <w:rsid w:val="51F42343"/>
    <w:rsid w:val="51F81A7A"/>
    <w:rsid w:val="51F9E191"/>
    <w:rsid w:val="520C9DD0"/>
    <w:rsid w:val="52123FC5"/>
    <w:rsid w:val="521653FB"/>
    <w:rsid w:val="521AAC08"/>
    <w:rsid w:val="521C4216"/>
    <w:rsid w:val="52200F2E"/>
    <w:rsid w:val="5224A801"/>
    <w:rsid w:val="522806BE"/>
    <w:rsid w:val="52315F7D"/>
    <w:rsid w:val="5231EF85"/>
    <w:rsid w:val="5233413A"/>
    <w:rsid w:val="5234F9F6"/>
    <w:rsid w:val="5236C90F"/>
    <w:rsid w:val="5236E49A"/>
    <w:rsid w:val="52370468"/>
    <w:rsid w:val="52392E71"/>
    <w:rsid w:val="5239DB07"/>
    <w:rsid w:val="523C1B9D"/>
    <w:rsid w:val="523F8D8D"/>
    <w:rsid w:val="523FF898"/>
    <w:rsid w:val="5241A029"/>
    <w:rsid w:val="52554A5B"/>
    <w:rsid w:val="52583F6D"/>
    <w:rsid w:val="525F283E"/>
    <w:rsid w:val="5264075D"/>
    <w:rsid w:val="526B8B91"/>
    <w:rsid w:val="526C7693"/>
    <w:rsid w:val="527354EA"/>
    <w:rsid w:val="52742D1A"/>
    <w:rsid w:val="527B80A4"/>
    <w:rsid w:val="527C05E6"/>
    <w:rsid w:val="52804989"/>
    <w:rsid w:val="528D8F1C"/>
    <w:rsid w:val="528DCD24"/>
    <w:rsid w:val="529AC82B"/>
    <w:rsid w:val="52A94B6E"/>
    <w:rsid w:val="52AB0CF8"/>
    <w:rsid w:val="52B06150"/>
    <w:rsid w:val="52B9AEA1"/>
    <w:rsid w:val="52CCE81D"/>
    <w:rsid w:val="52CDCBE2"/>
    <w:rsid w:val="52CF5118"/>
    <w:rsid w:val="52D4CBAF"/>
    <w:rsid w:val="52D773A1"/>
    <w:rsid w:val="52E06C3E"/>
    <w:rsid w:val="52EB9005"/>
    <w:rsid w:val="52FB62E1"/>
    <w:rsid w:val="53123839"/>
    <w:rsid w:val="531323ED"/>
    <w:rsid w:val="531AAF5F"/>
    <w:rsid w:val="5326B879"/>
    <w:rsid w:val="532CC683"/>
    <w:rsid w:val="532DE854"/>
    <w:rsid w:val="532E3C83"/>
    <w:rsid w:val="5331CE05"/>
    <w:rsid w:val="5333D7BF"/>
    <w:rsid w:val="533BACE9"/>
    <w:rsid w:val="533F07B3"/>
    <w:rsid w:val="53422FA6"/>
    <w:rsid w:val="534B4C9C"/>
    <w:rsid w:val="5351AA70"/>
    <w:rsid w:val="53591236"/>
    <w:rsid w:val="536D2BB6"/>
    <w:rsid w:val="536DBEBF"/>
    <w:rsid w:val="53752B6D"/>
    <w:rsid w:val="53778970"/>
    <w:rsid w:val="537A7FC5"/>
    <w:rsid w:val="53812F31"/>
    <w:rsid w:val="5388A6E1"/>
    <w:rsid w:val="538B2CDF"/>
    <w:rsid w:val="538CD8A3"/>
    <w:rsid w:val="53970A9E"/>
    <w:rsid w:val="539E2F57"/>
    <w:rsid w:val="53A4A792"/>
    <w:rsid w:val="53A4C4F6"/>
    <w:rsid w:val="53ADCBA3"/>
    <w:rsid w:val="53AF7119"/>
    <w:rsid w:val="53C1A1C3"/>
    <w:rsid w:val="53CB9047"/>
    <w:rsid w:val="53DD7C3F"/>
    <w:rsid w:val="53EAFF8A"/>
    <w:rsid w:val="53FA40A4"/>
    <w:rsid w:val="541B82C2"/>
    <w:rsid w:val="541B8481"/>
    <w:rsid w:val="5426B4C9"/>
    <w:rsid w:val="542799FC"/>
    <w:rsid w:val="542876E8"/>
    <w:rsid w:val="5428D8EE"/>
    <w:rsid w:val="543478D2"/>
    <w:rsid w:val="54348BDC"/>
    <w:rsid w:val="5437279A"/>
    <w:rsid w:val="5437E416"/>
    <w:rsid w:val="543BDD95"/>
    <w:rsid w:val="543EF9E7"/>
    <w:rsid w:val="5441770C"/>
    <w:rsid w:val="544CB543"/>
    <w:rsid w:val="544D0527"/>
    <w:rsid w:val="545A700E"/>
    <w:rsid w:val="545F98A0"/>
    <w:rsid w:val="5466BFB9"/>
    <w:rsid w:val="5468EB4F"/>
    <w:rsid w:val="54696EA7"/>
    <w:rsid w:val="5469B7AE"/>
    <w:rsid w:val="546AA374"/>
    <w:rsid w:val="546F199B"/>
    <w:rsid w:val="547EF9CB"/>
    <w:rsid w:val="54899A57"/>
    <w:rsid w:val="54927F26"/>
    <w:rsid w:val="54939886"/>
    <w:rsid w:val="5493CCA9"/>
    <w:rsid w:val="54957C72"/>
    <w:rsid w:val="54989CFA"/>
    <w:rsid w:val="549DB5EB"/>
    <w:rsid w:val="549E7B30"/>
    <w:rsid w:val="549F2010"/>
    <w:rsid w:val="54A1946D"/>
    <w:rsid w:val="54B006E8"/>
    <w:rsid w:val="54C364D5"/>
    <w:rsid w:val="54C67D17"/>
    <w:rsid w:val="54D16872"/>
    <w:rsid w:val="54D2AEAE"/>
    <w:rsid w:val="54DFF36F"/>
    <w:rsid w:val="54F59FE5"/>
    <w:rsid w:val="54FC4353"/>
    <w:rsid w:val="55005792"/>
    <w:rsid w:val="5506028F"/>
    <w:rsid w:val="5513C9D2"/>
    <w:rsid w:val="552F9693"/>
    <w:rsid w:val="553C2FD7"/>
    <w:rsid w:val="554FD4A4"/>
    <w:rsid w:val="555B5946"/>
    <w:rsid w:val="555C9E27"/>
    <w:rsid w:val="55683ABA"/>
    <w:rsid w:val="556C0D2B"/>
    <w:rsid w:val="5570FDB5"/>
    <w:rsid w:val="557283CE"/>
    <w:rsid w:val="5576F11C"/>
    <w:rsid w:val="55781993"/>
    <w:rsid w:val="557ADC1A"/>
    <w:rsid w:val="557C42EE"/>
    <w:rsid w:val="55819EE3"/>
    <w:rsid w:val="5581B8D2"/>
    <w:rsid w:val="5582504A"/>
    <w:rsid w:val="55885AEC"/>
    <w:rsid w:val="558B52B6"/>
    <w:rsid w:val="55A8C207"/>
    <w:rsid w:val="55AAF5AC"/>
    <w:rsid w:val="55AC0868"/>
    <w:rsid w:val="55AC9500"/>
    <w:rsid w:val="55B346DA"/>
    <w:rsid w:val="55B4A0AA"/>
    <w:rsid w:val="55B74F06"/>
    <w:rsid w:val="55B96807"/>
    <w:rsid w:val="55C3C927"/>
    <w:rsid w:val="55C49866"/>
    <w:rsid w:val="55C6E27F"/>
    <w:rsid w:val="55C8F9C5"/>
    <w:rsid w:val="55C90793"/>
    <w:rsid w:val="55CC9368"/>
    <w:rsid w:val="55D6FC0E"/>
    <w:rsid w:val="55E5B885"/>
    <w:rsid w:val="55EDEB30"/>
    <w:rsid w:val="55F1D3F0"/>
    <w:rsid w:val="55F38C24"/>
    <w:rsid w:val="55FA5168"/>
    <w:rsid w:val="55FA626B"/>
    <w:rsid w:val="55FABE74"/>
    <w:rsid w:val="55FB76D8"/>
    <w:rsid w:val="55FDC77E"/>
    <w:rsid w:val="560304C5"/>
    <w:rsid w:val="5609C226"/>
    <w:rsid w:val="560D3E64"/>
    <w:rsid w:val="560F0CE9"/>
    <w:rsid w:val="561083F4"/>
    <w:rsid w:val="562F9D0A"/>
    <w:rsid w:val="56343000"/>
    <w:rsid w:val="56397031"/>
    <w:rsid w:val="56521C14"/>
    <w:rsid w:val="5658A7D9"/>
    <w:rsid w:val="565A9717"/>
    <w:rsid w:val="567B51F0"/>
    <w:rsid w:val="567EEAFE"/>
    <w:rsid w:val="5683169E"/>
    <w:rsid w:val="5685C6D6"/>
    <w:rsid w:val="56862B11"/>
    <w:rsid w:val="568D88E6"/>
    <w:rsid w:val="568DFBF0"/>
    <w:rsid w:val="5691FF38"/>
    <w:rsid w:val="56A76352"/>
    <w:rsid w:val="56B0CFE0"/>
    <w:rsid w:val="56B344C8"/>
    <w:rsid w:val="56C840A1"/>
    <w:rsid w:val="56D32F61"/>
    <w:rsid w:val="56DC987B"/>
    <w:rsid w:val="56E54F4F"/>
    <w:rsid w:val="57014DFB"/>
    <w:rsid w:val="571A2105"/>
    <w:rsid w:val="571C3507"/>
    <w:rsid w:val="571FE4B5"/>
    <w:rsid w:val="57205606"/>
    <w:rsid w:val="572444AF"/>
    <w:rsid w:val="572CFFA6"/>
    <w:rsid w:val="572F532F"/>
    <w:rsid w:val="573313D7"/>
    <w:rsid w:val="57390E75"/>
    <w:rsid w:val="573B76ED"/>
    <w:rsid w:val="57477C92"/>
    <w:rsid w:val="57532E49"/>
    <w:rsid w:val="57794273"/>
    <w:rsid w:val="577CBAFB"/>
    <w:rsid w:val="57823349"/>
    <w:rsid w:val="5783C6E0"/>
    <w:rsid w:val="57840449"/>
    <w:rsid w:val="578C4348"/>
    <w:rsid w:val="5797F5BD"/>
    <w:rsid w:val="579CF48C"/>
    <w:rsid w:val="57A7FEE1"/>
    <w:rsid w:val="57B66CDE"/>
    <w:rsid w:val="57BE8CA2"/>
    <w:rsid w:val="57C4FF29"/>
    <w:rsid w:val="57C71C4A"/>
    <w:rsid w:val="57C9ECBF"/>
    <w:rsid w:val="57D91136"/>
    <w:rsid w:val="57DD2B67"/>
    <w:rsid w:val="57E8D698"/>
    <w:rsid w:val="57EA1020"/>
    <w:rsid w:val="57F37220"/>
    <w:rsid w:val="57FE8AF1"/>
    <w:rsid w:val="58046672"/>
    <w:rsid w:val="5806D6DB"/>
    <w:rsid w:val="58082181"/>
    <w:rsid w:val="5816A6F9"/>
    <w:rsid w:val="581AB6B2"/>
    <w:rsid w:val="583486F0"/>
    <w:rsid w:val="5835556B"/>
    <w:rsid w:val="58406EA9"/>
    <w:rsid w:val="584170D6"/>
    <w:rsid w:val="584245B7"/>
    <w:rsid w:val="5844E08B"/>
    <w:rsid w:val="58481D87"/>
    <w:rsid w:val="5850FB60"/>
    <w:rsid w:val="58584FA6"/>
    <w:rsid w:val="585C4A63"/>
    <w:rsid w:val="58619B65"/>
    <w:rsid w:val="58778852"/>
    <w:rsid w:val="58797B76"/>
    <w:rsid w:val="587A6D47"/>
    <w:rsid w:val="587D4E83"/>
    <w:rsid w:val="58A36D14"/>
    <w:rsid w:val="58A8A54C"/>
    <w:rsid w:val="58A93A96"/>
    <w:rsid w:val="58AADF13"/>
    <w:rsid w:val="58AC55BE"/>
    <w:rsid w:val="58AFBFB0"/>
    <w:rsid w:val="58B190B0"/>
    <w:rsid w:val="58B50376"/>
    <w:rsid w:val="58BE64C3"/>
    <w:rsid w:val="58C931F7"/>
    <w:rsid w:val="58CE2B71"/>
    <w:rsid w:val="58D2739F"/>
    <w:rsid w:val="58DBB22C"/>
    <w:rsid w:val="58DE02E7"/>
    <w:rsid w:val="58E40B3F"/>
    <w:rsid w:val="59027798"/>
    <w:rsid w:val="590A064C"/>
    <w:rsid w:val="590CEABB"/>
    <w:rsid w:val="5918EE66"/>
    <w:rsid w:val="591A6D3D"/>
    <w:rsid w:val="591A86FF"/>
    <w:rsid w:val="5921907A"/>
    <w:rsid w:val="5921B421"/>
    <w:rsid w:val="59238521"/>
    <w:rsid w:val="592A6495"/>
    <w:rsid w:val="592C5603"/>
    <w:rsid w:val="59332762"/>
    <w:rsid w:val="593EAB98"/>
    <w:rsid w:val="5940D825"/>
    <w:rsid w:val="59413D50"/>
    <w:rsid w:val="5947C958"/>
    <w:rsid w:val="594F2FF4"/>
    <w:rsid w:val="5950123C"/>
    <w:rsid w:val="5951C84E"/>
    <w:rsid w:val="59583AE1"/>
    <w:rsid w:val="5959FA79"/>
    <w:rsid w:val="595D17CE"/>
    <w:rsid w:val="596A2540"/>
    <w:rsid w:val="597A2DE4"/>
    <w:rsid w:val="597D7DAE"/>
    <w:rsid w:val="59818D60"/>
    <w:rsid w:val="59824919"/>
    <w:rsid w:val="598DC510"/>
    <w:rsid w:val="598FB123"/>
    <w:rsid w:val="5994CF47"/>
    <w:rsid w:val="599785A8"/>
    <w:rsid w:val="599F9A48"/>
    <w:rsid w:val="59A10BAE"/>
    <w:rsid w:val="59A19363"/>
    <w:rsid w:val="59A41195"/>
    <w:rsid w:val="59B341CD"/>
    <w:rsid w:val="59C0C54B"/>
    <w:rsid w:val="59C20C3E"/>
    <w:rsid w:val="59D3F0B3"/>
    <w:rsid w:val="59D998BF"/>
    <w:rsid w:val="59DA7EB0"/>
    <w:rsid w:val="59DB8F7E"/>
    <w:rsid w:val="59E9338C"/>
    <w:rsid w:val="59EB9B65"/>
    <w:rsid w:val="59ED2EFC"/>
    <w:rsid w:val="59F7917B"/>
    <w:rsid w:val="59FFE163"/>
    <w:rsid w:val="5A0F4F35"/>
    <w:rsid w:val="5A12E001"/>
    <w:rsid w:val="5A180CA2"/>
    <w:rsid w:val="5A1F8953"/>
    <w:rsid w:val="5A20E7B6"/>
    <w:rsid w:val="5A240887"/>
    <w:rsid w:val="5A2BA732"/>
    <w:rsid w:val="5A384EAF"/>
    <w:rsid w:val="5A46B34B"/>
    <w:rsid w:val="5A50C93F"/>
    <w:rsid w:val="5A53A9B0"/>
    <w:rsid w:val="5A564AD3"/>
    <w:rsid w:val="5A6550AA"/>
    <w:rsid w:val="5A68D4BC"/>
    <w:rsid w:val="5A709221"/>
    <w:rsid w:val="5A72BFA2"/>
    <w:rsid w:val="5A73ACCB"/>
    <w:rsid w:val="5A7A769A"/>
    <w:rsid w:val="5A7ED3AD"/>
    <w:rsid w:val="5A898B95"/>
    <w:rsid w:val="5A8D97FB"/>
    <w:rsid w:val="5A916288"/>
    <w:rsid w:val="5A9EC635"/>
    <w:rsid w:val="5AA34C3D"/>
    <w:rsid w:val="5AA54A58"/>
    <w:rsid w:val="5ABB1721"/>
    <w:rsid w:val="5ACFE2CF"/>
    <w:rsid w:val="5AD38B4A"/>
    <w:rsid w:val="5AD708FE"/>
    <w:rsid w:val="5AE66A88"/>
    <w:rsid w:val="5AF93B54"/>
    <w:rsid w:val="5AFE8DBE"/>
    <w:rsid w:val="5B08388D"/>
    <w:rsid w:val="5B0C5BDA"/>
    <w:rsid w:val="5B18EF76"/>
    <w:rsid w:val="5B1B30B7"/>
    <w:rsid w:val="5B1F64FC"/>
    <w:rsid w:val="5B2600CA"/>
    <w:rsid w:val="5B298CFA"/>
    <w:rsid w:val="5B2B5DC7"/>
    <w:rsid w:val="5B3FA719"/>
    <w:rsid w:val="5B443B3F"/>
    <w:rsid w:val="5B5400A1"/>
    <w:rsid w:val="5B5775E6"/>
    <w:rsid w:val="5B618339"/>
    <w:rsid w:val="5B61DC66"/>
    <w:rsid w:val="5B684600"/>
    <w:rsid w:val="5B7AAD44"/>
    <w:rsid w:val="5B87FAA8"/>
    <w:rsid w:val="5B8A4C6F"/>
    <w:rsid w:val="5B8CD5D4"/>
    <w:rsid w:val="5B90ADD8"/>
    <w:rsid w:val="5B98C9E9"/>
    <w:rsid w:val="5BA113FE"/>
    <w:rsid w:val="5BB1388E"/>
    <w:rsid w:val="5BB422C3"/>
    <w:rsid w:val="5BB5168F"/>
    <w:rsid w:val="5BB7591B"/>
    <w:rsid w:val="5BC24DF5"/>
    <w:rsid w:val="5BC2EF86"/>
    <w:rsid w:val="5BC815AF"/>
    <w:rsid w:val="5BCD2E01"/>
    <w:rsid w:val="5BDC152C"/>
    <w:rsid w:val="5BE81E46"/>
    <w:rsid w:val="5BEB5726"/>
    <w:rsid w:val="5BF1B389"/>
    <w:rsid w:val="5C02A038"/>
    <w:rsid w:val="5C0A6109"/>
    <w:rsid w:val="5C0AE24D"/>
    <w:rsid w:val="5C1334B3"/>
    <w:rsid w:val="5C1BD684"/>
    <w:rsid w:val="5C1C21F4"/>
    <w:rsid w:val="5C21BF3E"/>
    <w:rsid w:val="5C27FBD4"/>
    <w:rsid w:val="5C29ACC4"/>
    <w:rsid w:val="5C2AAABB"/>
    <w:rsid w:val="5C2BFA98"/>
    <w:rsid w:val="5C2C2065"/>
    <w:rsid w:val="5C33CA86"/>
    <w:rsid w:val="5C3518CD"/>
    <w:rsid w:val="5C3D7363"/>
    <w:rsid w:val="5C3F05F8"/>
    <w:rsid w:val="5C3F2315"/>
    <w:rsid w:val="5C474271"/>
    <w:rsid w:val="5C4EB400"/>
    <w:rsid w:val="5C52D5E6"/>
    <w:rsid w:val="5C545C8C"/>
    <w:rsid w:val="5C551B9E"/>
    <w:rsid w:val="5C57B0FD"/>
    <w:rsid w:val="5C57E42A"/>
    <w:rsid w:val="5C590903"/>
    <w:rsid w:val="5C598657"/>
    <w:rsid w:val="5C59D34C"/>
    <w:rsid w:val="5C5BD622"/>
    <w:rsid w:val="5C676E68"/>
    <w:rsid w:val="5C68B7F9"/>
    <w:rsid w:val="5C6DA631"/>
    <w:rsid w:val="5C707118"/>
    <w:rsid w:val="5C7657CB"/>
    <w:rsid w:val="5C7BB0EC"/>
    <w:rsid w:val="5C7BF913"/>
    <w:rsid w:val="5C7C010E"/>
    <w:rsid w:val="5C92AE54"/>
    <w:rsid w:val="5C939804"/>
    <w:rsid w:val="5C942118"/>
    <w:rsid w:val="5C98EDD5"/>
    <w:rsid w:val="5CB28A0F"/>
    <w:rsid w:val="5CD0EFBF"/>
    <w:rsid w:val="5CD72A75"/>
    <w:rsid w:val="5CE33CB3"/>
    <w:rsid w:val="5CE71420"/>
    <w:rsid w:val="5CE96E3E"/>
    <w:rsid w:val="5CEB227B"/>
    <w:rsid w:val="5D080106"/>
    <w:rsid w:val="5D085D55"/>
    <w:rsid w:val="5D0BCB0B"/>
    <w:rsid w:val="5D0C1D88"/>
    <w:rsid w:val="5D1257AF"/>
    <w:rsid w:val="5D1317CA"/>
    <w:rsid w:val="5D1513F3"/>
    <w:rsid w:val="5D299492"/>
    <w:rsid w:val="5D2B2D50"/>
    <w:rsid w:val="5D2F0BCC"/>
    <w:rsid w:val="5D32BEE4"/>
    <w:rsid w:val="5D35E357"/>
    <w:rsid w:val="5D49B547"/>
    <w:rsid w:val="5D4CB23F"/>
    <w:rsid w:val="5D61E75B"/>
    <w:rsid w:val="5D6FDA21"/>
    <w:rsid w:val="5D718B9E"/>
    <w:rsid w:val="5D73886B"/>
    <w:rsid w:val="5D74E59C"/>
    <w:rsid w:val="5D766090"/>
    <w:rsid w:val="5D7712AE"/>
    <w:rsid w:val="5D7B109B"/>
    <w:rsid w:val="5D7B9C16"/>
    <w:rsid w:val="5D87B14E"/>
    <w:rsid w:val="5D8BD758"/>
    <w:rsid w:val="5DA16A25"/>
    <w:rsid w:val="5DAB780B"/>
    <w:rsid w:val="5DBC00DD"/>
    <w:rsid w:val="5DBE606E"/>
    <w:rsid w:val="5DC4BC4A"/>
    <w:rsid w:val="5DC6DFC3"/>
    <w:rsid w:val="5DCDD02F"/>
    <w:rsid w:val="5DD91731"/>
    <w:rsid w:val="5DD9F563"/>
    <w:rsid w:val="5DE470DB"/>
    <w:rsid w:val="5DF1F8A7"/>
    <w:rsid w:val="5E043FA4"/>
    <w:rsid w:val="5E1133C6"/>
    <w:rsid w:val="5E12250E"/>
    <w:rsid w:val="5E16AF41"/>
    <w:rsid w:val="5E18F9F9"/>
    <w:rsid w:val="5E1F8C5B"/>
    <w:rsid w:val="5E23C0F5"/>
    <w:rsid w:val="5E262D04"/>
    <w:rsid w:val="5E2C9AA7"/>
    <w:rsid w:val="5E2FFF2A"/>
    <w:rsid w:val="5E378097"/>
    <w:rsid w:val="5E3A0BA1"/>
    <w:rsid w:val="5E41A45E"/>
    <w:rsid w:val="5E422F5E"/>
    <w:rsid w:val="5E49A5D8"/>
    <w:rsid w:val="5E49C0B9"/>
    <w:rsid w:val="5E4EED77"/>
    <w:rsid w:val="5E50BE77"/>
    <w:rsid w:val="5E86C74F"/>
    <w:rsid w:val="5E87C8CE"/>
    <w:rsid w:val="5E8D7C0F"/>
    <w:rsid w:val="5E8FD8C0"/>
    <w:rsid w:val="5E90489E"/>
    <w:rsid w:val="5E97BCCE"/>
    <w:rsid w:val="5EA1AA19"/>
    <w:rsid w:val="5EA4CF6D"/>
    <w:rsid w:val="5EA9C0AA"/>
    <w:rsid w:val="5EAEDB09"/>
    <w:rsid w:val="5EB4979B"/>
    <w:rsid w:val="5EC3BE0D"/>
    <w:rsid w:val="5EC5657C"/>
    <w:rsid w:val="5EC63644"/>
    <w:rsid w:val="5EC7BA40"/>
    <w:rsid w:val="5EC956F3"/>
    <w:rsid w:val="5ED0B5EB"/>
    <w:rsid w:val="5ED0EC10"/>
    <w:rsid w:val="5ED6097A"/>
    <w:rsid w:val="5EE320A7"/>
    <w:rsid w:val="5EE78676"/>
    <w:rsid w:val="5EEFB06A"/>
    <w:rsid w:val="5F1090C2"/>
    <w:rsid w:val="5F1272AB"/>
    <w:rsid w:val="5F15D867"/>
    <w:rsid w:val="5F1C946D"/>
    <w:rsid w:val="5F3ABDE7"/>
    <w:rsid w:val="5F44AF7F"/>
    <w:rsid w:val="5F4FB266"/>
    <w:rsid w:val="5F50B39A"/>
    <w:rsid w:val="5F5A835B"/>
    <w:rsid w:val="5F6378D5"/>
    <w:rsid w:val="5F7B3020"/>
    <w:rsid w:val="5F7F6C81"/>
    <w:rsid w:val="5F89AEC1"/>
    <w:rsid w:val="5F8D2774"/>
    <w:rsid w:val="5F92E805"/>
    <w:rsid w:val="5F95DFB8"/>
    <w:rsid w:val="5F9B9F5C"/>
    <w:rsid w:val="5FA49438"/>
    <w:rsid w:val="5FB30B4C"/>
    <w:rsid w:val="5FB39172"/>
    <w:rsid w:val="5FB478F8"/>
    <w:rsid w:val="5FB87294"/>
    <w:rsid w:val="5FB9FBB8"/>
    <w:rsid w:val="5FBA9CD5"/>
    <w:rsid w:val="5FD68AA7"/>
    <w:rsid w:val="5FD8D27D"/>
    <w:rsid w:val="5FD95D67"/>
    <w:rsid w:val="5FE3963B"/>
    <w:rsid w:val="5FE6FD73"/>
    <w:rsid w:val="5FF28559"/>
    <w:rsid w:val="6003B98A"/>
    <w:rsid w:val="600CD5B6"/>
    <w:rsid w:val="600F3CD9"/>
    <w:rsid w:val="601554DA"/>
    <w:rsid w:val="601618CB"/>
    <w:rsid w:val="60192B4A"/>
    <w:rsid w:val="601A5A3A"/>
    <w:rsid w:val="601E2378"/>
    <w:rsid w:val="601EF062"/>
    <w:rsid w:val="60228351"/>
    <w:rsid w:val="6022E9D0"/>
    <w:rsid w:val="6026873E"/>
    <w:rsid w:val="6029A76B"/>
    <w:rsid w:val="602D016A"/>
    <w:rsid w:val="602E9DF3"/>
    <w:rsid w:val="602FA2A2"/>
    <w:rsid w:val="6039A364"/>
    <w:rsid w:val="604E0DFF"/>
    <w:rsid w:val="6050878A"/>
    <w:rsid w:val="60547AD9"/>
    <w:rsid w:val="6057FE5D"/>
    <w:rsid w:val="605BAD95"/>
    <w:rsid w:val="6063077C"/>
    <w:rsid w:val="60633333"/>
    <w:rsid w:val="60673561"/>
    <w:rsid w:val="60725C4D"/>
    <w:rsid w:val="60729677"/>
    <w:rsid w:val="607F0450"/>
    <w:rsid w:val="60937C10"/>
    <w:rsid w:val="60967770"/>
    <w:rsid w:val="609CC9D7"/>
    <w:rsid w:val="609DB602"/>
    <w:rsid w:val="60AEC799"/>
    <w:rsid w:val="60CB6AED"/>
    <w:rsid w:val="60CE332C"/>
    <w:rsid w:val="60DFAFBB"/>
    <w:rsid w:val="60E1C513"/>
    <w:rsid w:val="60E2EE0A"/>
    <w:rsid w:val="60E86F47"/>
    <w:rsid w:val="60E9193D"/>
    <w:rsid w:val="60F2CC9A"/>
    <w:rsid w:val="60F546D4"/>
    <w:rsid w:val="60FBE637"/>
    <w:rsid w:val="60FD1DE7"/>
    <w:rsid w:val="6100B100"/>
    <w:rsid w:val="610AB512"/>
    <w:rsid w:val="61189239"/>
    <w:rsid w:val="6121D3A7"/>
    <w:rsid w:val="6123006D"/>
    <w:rsid w:val="61264B57"/>
    <w:rsid w:val="612701D0"/>
    <w:rsid w:val="612C2E8E"/>
    <w:rsid w:val="613A6FF5"/>
    <w:rsid w:val="613AD3A1"/>
    <w:rsid w:val="613ADF8B"/>
    <w:rsid w:val="613B33E0"/>
    <w:rsid w:val="614810EA"/>
    <w:rsid w:val="614FBA1D"/>
    <w:rsid w:val="61506655"/>
    <w:rsid w:val="6151DEDB"/>
    <w:rsid w:val="6159A282"/>
    <w:rsid w:val="61605529"/>
    <w:rsid w:val="61670927"/>
    <w:rsid w:val="6177D52C"/>
    <w:rsid w:val="61792132"/>
    <w:rsid w:val="61812FA5"/>
    <w:rsid w:val="61817DF7"/>
    <w:rsid w:val="61899EF9"/>
    <w:rsid w:val="618A1E56"/>
    <w:rsid w:val="61A460E2"/>
    <w:rsid w:val="61AB959D"/>
    <w:rsid w:val="61AC77A8"/>
    <w:rsid w:val="61B62A9B"/>
    <w:rsid w:val="61B8276E"/>
    <w:rsid w:val="61CA9833"/>
    <w:rsid w:val="61CBE57D"/>
    <w:rsid w:val="61CEEE3A"/>
    <w:rsid w:val="61D0691B"/>
    <w:rsid w:val="61D9B97D"/>
    <w:rsid w:val="61DC5392"/>
    <w:rsid w:val="61E22422"/>
    <w:rsid w:val="61E88793"/>
    <w:rsid w:val="61ED6C37"/>
    <w:rsid w:val="61F18019"/>
    <w:rsid w:val="61F946E5"/>
    <w:rsid w:val="6205792E"/>
    <w:rsid w:val="620B0B9F"/>
    <w:rsid w:val="6212DE19"/>
    <w:rsid w:val="62192A2A"/>
    <w:rsid w:val="622050CD"/>
    <w:rsid w:val="622E4ED9"/>
    <w:rsid w:val="62352763"/>
    <w:rsid w:val="623AC6C5"/>
    <w:rsid w:val="623D4FA1"/>
    <w:rsid w:val="62409C67"/>
    <w:rsid w:val="6249B0BE"/>
    <w:rsid w:val="624AFEE6"/>
    <w:rsid w:val="62506225"/>
    <w:rsid w:val="6250BCBC"/>
    <w:rsid w:val="628CC3CC"/>
    <w:rsid w:val="629CA5C4"/>
    <w:rsid w:val="629CAC83"/>
    <w:rsid w:val="62A427DB"/>
    <w:rsid w:val="62A45E7A"/>
    <w:rsid w:val="62B34414"/>
    <w:rsid w:val="62B5BBBB"/>
    <w:rsid w:val="62BAA9E4"/>
    <w:rsid w:val="62BADBEB"/>
    <w:rsid w:val="62BD277A"/>
    <w:rsid w:val="62BE8F48"/>
    <w:rsid w:val="62C6689E"/>
    <w:rsid w:val="62CB33CE"/>
    <w:rsid w:val="62DE9D2F"/>
    <w:rsid w:val="62F42F1C"/>
    <w:rsid w:val="62F44152"/>
    <w:rsid w:val="62F5A1F8"/>
    <w:rsid w:val="62F6F482"/>
    <w:rsid w:val="63061BF7"/>
    <w:rsid w:val="63115FB0"/>
    <w:rsid w:val="631CA7B6"/>
    <w:rsid w:val="631F8E81"/>
    <w:rsid w:val="632770E6"/>
    <w:rsid w:val="63355F96"/>
    <w:rsid w:val="633AC2E6"/>
    <w:rsid w:val="635227CC"/>
    <w:rsid w:val="6356198F"/>
    <w:rsid w:val="635F8EBA"/>
    <w:rsid w:val="635FE182"/>
    <w:rsid w:val="6361FE3A"/>
    <w:rsid w:val="63631173"/>
    <w:rsid w:val="6369CE6F"/>
    <w:rsid w:val="636AAA2D"/>
    <w:rsid w:val="636CE198"/>
    <w:rsid w:val="6373CC7F"/>
    <w:rsid w:val="638C74AF"/>
    <w:rsid w:val="639A8953"/>
    <w:rsid w:val="63A15B14"/>
    <w:rsid w:val="63BEC9F3"/>
    <w:rsid w:val="63CE8169"/>
    <w:rsid w:val="63E34980"/>
    <w:rsid w:val="63E36151"/>
    <w:rsid w:val="63E63DDD"/>
    <w:rsid w:val="63EDF892"/>
    <w:rsid w:val="640A52B5"/>
    <w:rsid w:val="640DC840"/>
    <w:rsid w:val="641BD7F3"/>
    <w:rsid w:val="641E0122"/>
    <w:rsid w:val="641E40E9"/>
    <w:rsid w:val="642011E9"/>
    <w:rsid w:val="6432A926"/>
    <w:rsid w:val="643463FB"/>
    <w:rsid w:val="644D3249"/>
    <w:rsid w:val="64553DF1"/>
    <w:rsid w:val="6458324E"/>
    <w:rsid w:val="6461AAD7"/>
    <w:rsid w:val="64652275"/>
    <w:rsid w:val="646ECC9B"/>
    <w:rsid w:val="646F4E2C"/>
    <w:rsid w:val="647413E4"/>
    <w:rsid w:val="64771D0A"/>
    <w:rsid w:val="647A6418"/>
    <w:rsid w:val="648037A2"/>
    <w:rsid w:val="648046D1"/>
    <w:rsid w:val="64844765"/>
    <w:rsid w:val="648AD75D"/>
    <w:rsid w:val="648C0FC2"/>
    <w:rsid w:val="648CA778"/>
    <w:rsid w:val="648EC742"/>
    <w:rsid w:val="649E132B"/>
    <w:rsid w:val="64A866D5"/>
    <w:rsid w:val="64AB2464"/>
    <w:rsid w:val="64AB5719"/>
    <w:rsid w:val="64AC5B73"/>
    <w:rsid w:val="64AF1458"/>
    <w:rsid w:val="64B1800F"/>
    <w:rsid w:val="64C37CD8"/>
    <w:rsid w:val="64C5F67C"/>
    <w:rsid w:val="64CA119D"/>
    <w:rsid w:val="64CAC565"/>
    <w:rsid w:val="64CCA1E3"/>
    <w:rsid w:val="64CF0C02"/>
    <w:rsid w:val="64CFC7DA"/>
    <w:rsid w:val="64D8CFC5"/>
    <w:rsid w:val="64DA8975"/>
    <w:rsid w:val="64E2E183"/>
    <w:rsid w:val="64F4D0F5"/>
    <w:rsid w:val="6507333B"/>
    <w:rsid w:val="65079BEC"/>
    <w:rsid w:val="650A363F"/>
    <w:rsid w:val="651580DC"/>
    <w:rsid w:val="65201453"/>
    <w:rsid w:val="65211CB3"/>
    <w:rsid w:val="65219B29"/>
    <w:rsid w:val="6521DEA0"/>
    <w:rsid w:val="653258E8"/>
    <w:rsid w:val="65328A25"/>
    <w:rsid w:val="653788B4"/>
    <w:rsid w:val="6537B881"/>
    <w:rsid w:val="653CB8D9"/>
    <w:rsid w:val="65406107"/>
    <w:rsid w:val="654578EF"/>
    <w:rsid w:val="6545E2E3"/>
    <w:rsid w:val="6549EEE4"/>
    <w:rsid w:val="655B1569"/>
    <w:rsid w:val="657475ED"/>
    <w:rsid w:val="6576630D"/>
    <w:rsid w:val="657B79B9"/>
    <w:rsid w:val="6584852B"/>
    <w:rsid w:val="658940A2"/>
    <w:rsid w:val="658BB188"/>
    <w:rsid w:val="6591FEA4"/>
    <w:rsid w:val="659536FC"/>
    <w:rsid w:val="659AFF94"/>
    <w:rsid w:val="659C0A81"/>
    <w:rsid w:val="65AC6880"/>
    <w:rsid w:val="65ACAEDB"/>
    <w:rsid w:val="65BB77E9"/>
    <w:rsid w:val="65C0CDA1"/>
    <w:rsid w:val="65C332FD"/>
    <w:rsid w:val="65C7FBCC"/>
    <w:rsid w:val="65CA05B8"/>
    <w:rsid w:val="65CF360B"/>
    <w:rsid w:val="65E506A2"/>
    <w:rsid w:val="65F39311"/>
    <w:rsid w:val="65F7551E"/>
    <w:rsid w:val="65F817CD"/>
    <w:rsid w:val="65FCAEEB"/>
    <w:rsid w:val="6618D3AF"/>
    <w:rsid w:val="661948CC"/>
    <w:rsid w:val="661E60A1"/>
    <w:rsid w:val="662BC4FE"/>
    <w:rsid w:val="662C3F2F"/>
    <w:rsid w:val="6635D209"/>
    <w:rsid w:val="663E2643"/>
    <w:rsid w:val="6641F575"/>
    <w:rsid w:val="66590D4B"/>
    <w:rsid w:val="665BDF32"/>
    <w:rsid w:val="665C2B6E"/>
    <w:rsid w:val="665E2AAB"/>
    <w:rsid w:val="66648411"/>
    <w:rsid w:val="6666D8C0"/>
    <w:rsid w:val="666731B1"/>
    <w:rsid w:val="667FB8F9"/>
    <w:rsid w:val="6680AE82"/>
    <w:rsid w:val="668BEE8D"/>
    <w:rsid w:val="668FA4F2"/>
    <w:rsid w:val="669ADFCA"/>
    <w:rsid w:val="66A2D94B"/>
    <w:rsid w:val="66A48432"/>
    <w:rsid w:val="66A90985"/>
    <w:rsid w:val="66AF1401"/>
    <w:rsid w:val="66B417C2"/>
    <w:rsid w:val="66BB9A04"/>
    <w:rsid w:val="66C29687"/>
    <w:rsid w:val="66C7A6CB"/>
    <w:rsid w:val="66C8D5BB"/>
    <w:rsid w:val="66C9E57D"/>
    <w:rsid w:val="66CA6F60"/>
    <w:rsid w:val="66CE4C52"/>
    <w:rsid w:val="66D43D65"/>
    <w:rsid w:val="66D482AB"/>
    <w:rsid w:val="66D79EBB"/>
    <w:rsid w:val="66DF7080"/>
    <w:rsid w:val="66E396C2"/>
    <w:rsid w:val="66E5B0FE"/>
    <w:rsid w:val="66F5D33D"/>
    <w:rsid w:val="66F6016D"/>
    <w:rsid w:val="66F9A967"/>
    <w:rsid w:val="66FA85DB"/>
    <w:rsid w:val="6701437C"/>
    <w:rsid w:val="6704CC88"/>
    <w:rsid w:val="67151164"/>
    <w:rsid w:val="67152BD6"/>
    <w:rsid w:val="6729D84C"/>
    <w:rsid w:val="67300CFF"/>
    <w:rsid w:val="67336648"/>
    <w:rsid w:val="6745F81D"/>
    <w:rsid w:val="674A9ADB"/>
    <w:rsid w:val="674EBA0E"/>
    <w:rsid w:val="674FC3A9"/>
    <w:rsid w:val="67565601"/>
    <w:rsid w:val="6766C36A"/>
    <w:rsid w:val="676D0542"/>
    <w:rsid w:val="676DB771"/>
    <w:rsid w:val="6773F243"/>
    <w:rsid w:val="6776D0A4"/>
    <w:rsid w:val="6780071A"/>
    <w:rsid w:val="678140BB"/>
    <w:rsid w:val="6782240E"/>
    <w:rsid w:val="67886D14"/>
    <w:rsid w:val="6790ACC1"/>
    <w:rsid w:val="6797A787"/>
    <w:rsid w:val="6797E37C"/>
    <w:rsid w:val="6799361C"/>
    <w:rsid w:val="679EEC93"/>
    <w:rsid w:val="67A8FB6D"/>
    <w:rsid w:val="67AA811C"/>
    <w:rsid w:val="67AB73D4"/>
    <w:rsid w:val="67AE1906"/>
    <w:rsid w:val="67B20E52"/>
    <w:rsid w:val="67BB9373"/>
    <w:rsid w:val="67BF69C0"/>
    <w:rsid w:val="67C68E79"/>
    <w:rsid w:val="67CCD7A0"/>
    <w:rsid w:val="67CE9DCE"/>
    <w:rsid w:val="67E10911"/>
    <w:rsid w:val="67E2C188"/>
    <w:rsid w:val="67E81541"/>
    <w:rsid w:val="67EA9ECA"/>
    <w:rsid w:val="67F329B3"/>
    <w:rsid w:val="67FC12BF"/>
    <w:rsid w:val="67FEB625"/>
    <w:rsid w:val="68005D3F"/>
    <w:rsid w:val="6807675C"/>
    <w:rsid w:val="68130DEB"/>
    <w:rsid w:val="6819B005"/>
    <w:rsid w:val="682E6CE4"/>
    <w:rsid w:val="68366613"/>
    <w:rsid w:val="6838129C"/>
    <w:rsid w:val="6839D9B7"/>
    <w:rsid w:val="683C95ED"/>
    <w:rsid w:val="68402347"/>
    <w:rsid w:val="68475C50"/>
    <w:rsid w:val="6850E89E"/>
    <w:rsid w:val="685A48B0"/>
    <w:rsid w:val="6870E882"/>
    <w:rsid w:val="68714E24"/>
    <w:rsid w:val="6887C32C"/>
    <w:rsid w:val="688BC10B"/>
    <w:rsid w:val="6896117C"/>
    <w:rsid w:val="68992E54"/>
    <w:rsid w:val="689A6AA8"/>
    <w:rsid w:val="68AEC2F7"/>
    <w:rsid w:val="68B41F21"/>
    <w:rsid w:val="68BC2BCB"/>
    <w:rsid w:val="68BFC889"/>
    <w:rsid w:val="68C14866"/>
    <w:rsid w:val="68DDD45F"/>
    <w:rsid w:val="68DFC4D6"/>
    <w:rsid w:val="68E0E552"/>
    <w:rsid w:val="68F635A0"/>
    <w:rsid w:val="68FDA97F"/>
    <w:rsid w:val="68FDBD84"/>
    <w:rsid w:val="68FF77D3"/>
    <w:rsid w:val="69034B1F"/>
    <w:rsid w:val="690520CB"/>
    <w:rsid w:val="69073900"/>
    <w:rsid w:val="690FDA75"/>
    <w:rsid w:val="69124E2B"/>
    <w:rsid w:val="69136C9B"/>
    <w:rsid w:val="6915206F"/>
    <w:rsid w:val="69164363"/>
    <w:rsid w:val="691849EC"/>
    <w:rsid w:val="692A8216"/>
    <w:rsid w:val="6930024F"/>
    <w:rsid w:val="693220DB"/>
    <w:rsid w:val="6939B4F6"/>
    <w:rsid w:val="693ABF21"/>
    <w:rsid w:val="694580DF"/>
    <w:rsid w:val="69467DB1"/>
    <w:rsid w:val="6948DB35"/>
    <w:rsid w:val="6950789D"/>
    <w:rsid w:val="69598323"/>
    <w:rsid w:val="69618D39"/>
    <w:rsid w:val="696BD6C4"/>
    <w:rsid w:val="6970F891"/>
    <w:rsid w:val="69761BD7"/>
    <w:rsid w:val="697F654F"/>
    <w:rsid w:val="698AED1B"/>
    <w:rsid w:val="698E0820"/>
    <w:rsid w:val="69906EA6"/>
    <w:rsid w:val="6992D82A"/>
    <w:rsid w:val="69949AE9"/>
    <w:rsid w:val="699E2DCD"/>
    <w:rsid w:val="69AD66C9"/>
    <w:rsid w:val="69AFC685"/>
    <w:rsid w:val="69B17811"/>
    <w:rsid w:val="69BE29A2"/>
    <w:rsid w:val="69C53B70"/>
    <w:rsid w:val="69CC6D4E"/>
    <w:rsid w:val="69CD15C3"/>
    <w:rsid w:val="69D354CE"/>
    <w:rsid w:val="69E679F7"/>
    <w:rsid w:val="69EA9EAF"/>
    <w:rsid w:val="69ED412A"/>
    <w:rsid w:val="69F0983B"/>
    <w:rsid w:val="6A05E53E"/>
    <w:rsid w:val="6A07DC13"/>
    <w:rsid w:val="6A126FC7"/>
    <w:rsid w:val="6A1AC4A8"/>
    <w:rsid w:val="6A406614"/>
    <w:rsid w:val="6A452D1F"/>
    <w:rsid w:val="6A456D6C"/>
    <w:rsid w:val="6A4B72E5"/>
    <w:rsid w:val="6A500EA6"/>
    <w:rsid w:val="6A57000D"/>
    <w:rsid w:val="6A5C92FC"/>
    <w:rsid w:val="6A5DE7E3"/>
    <w:rsid w:val="6A603C9A"/>
    <w:rsid w:val="6A6BE3AA"/>
    <w:rsid w:val="6A71CC08"/>
    <w:rsid w:val="6A73E181"/>
    <w:rsid w:val="6A76DACE"/>
    <w:rsid w:val="6A7792B6"/>
    <w:rsid w:val="6A8B3906"/>
    <w:rsid w:val="6A8D42A6"/>
    <w:rsid w:val="6A91BE1B"/>
    <w:rsid w:val="6A95AC61"/>
    <w:rsid w:val="6A99144B"/>
    <w:rsid w:val="6A9A47E6"/>
    <w:rsid w:val="6ABCB3D7"/>
    <w:rsid w:val="6ABCE6A8"/>
    <w:rsid w:val="6ABFE732"/>
    <w:rsid w:val="6AC5CDBD"/>
    <w:rsid w:val="6AC85AB6"/>
    <w:rsid w:val="6ACBA4EE"/>
    <w:rsid w:val="6ACC27BE"/>
    <w:rsid w:val="6AD4EE34"/>
    <w:rsid w:val="6AD9F1EC"/>
    <w:rsid w:val="6ADDD43D"/>
    <w:rsid w:val="6AE179C9"/>
    <w:rsid w:val="6AE300A0"/>
    <w:rsid w:val="6AE5C542"/>
    <w:rsid w:val="6AE9B159"/>
    <w:rsid w:val="6AF0FE8E"/>
    <w:rsid w:val="6AF3BE02"/>
    <w:rsid w:val="6AF55384"/>
    <w:rsid w:val="6AF76672"/>
    <w:rsid w:val="6B0458FA"/>
    <w:rsid w:val="6B10CC5D"/>
    <w:rsid w:val="6B142873"/>
    <w:rsid w:val="6B1642A6"/>
    <w:rsid w:val="6B1854F8"/>
    <w:rsid w:val="6B1981AB"/>
    <w:rsid w:val="6B226A42"/>
    <w:rsid w:val="6B235E55"/>
    <w:rsid w:val="6B33B475"/>
    <w:rsid w:val="6B413C24"/>
    <w:rsid w:val="6B416650"/>
    <w:rsid w:val="6B589CBE"/>
    <w:rsid w:val="6B5AE19B"/>
    <w:rsid w:val="6B5E2D9A"/>
    <w:rsid w:val="6B615216"/>
    <w:rsid w:val="6B69017E"/>
    <w:rsid w:val="6B6A9A9C"/>
    <w:rsid w:val="6B6B635F"/>
    <w:rsid w:val="6B7257D7"/>
    <w:rsid w:val="6B799543"/>
    <w:rsid w:val="6B7C41B8"/>
    <w:rsid w:val="6B83ED2A"/>
    <w:rsid w:val="6B8F95A0"/>
    <w:rsid w:val="6B926728"/>
    <w:rsid w:val="6B939FA4"/>
    <w:rsid w:val="6B991694"/>
    <w:rsid w:val="6B9BEDB1"/>
    <w:rsid w:val="6BA64905"/>
    <w:rsid w:val="6BA9E808"/>
    <w:rsid w:val="6BC01E0A"/>
    <w:rsid w:val="6BD000C6"/>
    <w:rsid w:val="6BD21112"/>
    <w:rsid w:val="6BD360F0"/>
    <w:rsid w:val="6BD4DA1E"/>
    <w:rsid w:val="6BD5221F"/>
    <w:rsid w:val="6BD61EDD"/>
    <w:rsid w:val="6BDCE42E"/>
    <w:rsid w:val="6BDE0A17"/>
    <w:rsid w:val="6BE0144F"/>
    <w:rsid w:val="6BE22F11"/>
    <w:rsid w:val="6BEC6D02"/>
    <w:rsid w:val="6BF3CC8D"/>
    <w:rsid w:val="6BF631B2"/>
    <w:rsid w:val="6C042A28"/>
    <w:rsid w:val="6C052386"/>
    <w:rsid w:val="6C06E41E"/>
    <w:rsid w:val="6C082EFF"/>
    <w:rsid w:val="6C09B0C9"/>
    <w:rsid w:val="6C21CBBE"/>
    <w:rsid w:val="6C2D8E7C"/>
    <w:rsid w:val="6C37A264"/>
    <w:rsid w:val="6C37BB30"/>
    <w:rsid w:val="6C3F6CC4"/>
    <w:rsid w:val="6C42BB2E"/>
    <w:rsid w:val="6C4FF201"/>
    <w:rsid w:val="6C530F01"/>
    <w:rsid w:val="6C640E7C"/>
    <w:rsid w:val="6C653C71"/>
    <w:rsid w:val="6C762903"/>
    <w:rsid w:val="6C84EA85"/>
    <w:rsid w:val="6C958309"/>
    <w:rsid w:val="6C9AAFC7"/>
    <w:rsid w:val="6C9D573D"/>
    <w:rsid w:val="6C9DDFCE"/>
    <w:rsid w:val="6CAB93F4"/>
    <w:rsid w:val="6CB3FE80"/>
    <w:rsid w:val="6CB56A93"/>
    <w:rsid w:val="6CBB7D25"/>
    <w:rsid w:val="6CBC7033"/>
    <w:rsid w:val="6CC617F3"/>
    <w:rsid w:val="6CD67916"/>
    <w:rsid w:val="6CD98146"/>
    <w:rsid w:val="6CE186E0"/>
    <w:rsid w:val="6CEC026E"/>
    <w:rsid w:val="6CF0504D"/>
    <w:rsid w:val="6CF382B2"/>
    <w:rsid w:val="6D171C19"/>
    <w:rsid w:val="6D1C64B3"/>
    <w:rsid w:val="6D1F75D7"/>
    <w:rsid w:val="6D2F8DB7"/>
    <w:rsid w:val="6D3480D2"/>
    <w:rsid w:val="6D41BBE0"/>
    <w:rsid w:val="6D486850"/>
    <w:rsid w:val="6D557427"/>
    <w:rsid w:val="6D65534E"/>
    <w:rsid w:val="6D6B1944"/>
    <w:rsid w:val="6D70AA7F"/>
    <w:rsid w:val="6D75864A"/>
    <w:rsid w:val="6D7596F0"/>
    <w:rsid w:val="6D7E390F"/>
    <w:rsid w:val="6D7F36B7"/>
    <w:rsid w:val="6D833283"/>
    <w:rsid w:val="6D8ED5C3"/>
    <w:rsid w:val="6D92A456"/>
    <w:rsid w:val="6D9EB662"/>
    <w:rsid w:val="6DA20414"/>
    <w:rsid w:val="6DA52B12"/>
    <w:rsid w:val="6DB7E467"/>
    <w:rsid w:val="6DC6DC88"/>
    <w:rsid w:val="6DCA1241"/>
    <w:rsid w:val="6DCFE9A5"/>
    <w:rsid w:val="6DD75866"/>
    <w:rsid w:val="6DDF0586"/>
    <w:rsid w:val="6DE34A0D"/>
    <w:rsid w:val="6DE97907"/>
    <w:rsid w:val="6DF29F1A"/>
    <w:rsid w:val="6DF6F1A1"/>
    <w:rsid w:val="6DFFAA91"/>
    <w:rsid w:val="6E041BEC"/>
    <w:rsid w:val="6E09A528"/>
    <w:rsid w:val="6E1454F2"/>
    <w:rsid w:val="6E1CC464"/>
    <w:rsid w:val="6E1F37F5"/>
    <w:rsid w:val="6E20CB1C"/>
    <w:rsid w:val="6E21A1BC"/>
    <w:rsid w:val="6E2EAB44"/>
    <w:rsid w:val="6E3AA332"/>
    <w:rsid w:val="6E3BE693"/>
    <w:rsid w:val="6E4231ED"/>
    <w:rsid w:val="6E49B6C6"/>
    <w:rsid w:val="6E546982"/>
    <w:rsid w:val="6E54B872"/>
    <w:rsid w:val="6E58F593"/>
    <w:rsid w:val="6E5B2A22"/>
    <w:rsid w:val="6E65B7E3"/>
    <w:rsid w:val="6E6D6C47"/>
    <w:rsid w:val="6E7953FD"/>
    <w:rsid w:val="6E7F71EC"/>
    <w:rsid w:val="6E8147BD"/>
    <w:rsid w:val="6E84C008"/>
    <w:rsid w:val="6E88663E"/>
    <w:rsid w:val="6E891CB6"/>
    <w:rsid w:val="6E8B63BA"/>
    <w:rsid w:val="6E8EC3EE"/>
    <w:rsid w:val="6E8EC877"/>
    <w:rsid w:val="6E9AD4C1"/>
    <w:rsid w:val="6EA0FBDF"/>
    <w:rsid w:val="6EA56D1C"/>
    <w:rsid w:val="6EC90889"/>
    <w:rsid w:val="6EC97072"/>
    <w:rsid w:val="6EC98242"/>
    <w:rsid w:val="6ECDBAAD"/>
    <w:rsid w:val="6ED2EFE1"/>
    <w:rsid w:val="6ED3351D"/>
    <w:rsid w:val="6ED7BE06"/>
    <w:rsid w:val="6ED83DF8"/>
    <w:rsid w:val="6EDFCBB0"/>
    <w:rsid w:val="6EE332CD"/>
    <w:rsid w:val="6EE5F37A"/>
    <w:rsid w:val="6EF26CD2"/>
    <w:rsid w:val="6EF5B85A"/>
    <w:rsid w:val="6F128D4F"/>
    <w:rsid w:val="6F16A8A5"/>
    <w:rsid w:val="6F1D6C70"/>
    <w:rsid w:val="6F22218F"/>
    <w:rsid w:val="6F2AC351"/>
    <w:rsid w:val="6F376081"/>
    <w:rsid w:val="6F44B89B"/>
    <w:rsid w:val="6F474E95"/>
    <w:rsid w:val="6F4920BD"/>
    <w:rsid w:val="6F50ED30"/>
    <w:rsid w:val="6F524909"/>
    <w:rsid w:val="6F59A606"/>
    <w:rsid w:val="6F65E9FF"/>
    <w:rsid w:val="6F727AFA"/>
    <w:rsid w:val="6F757C0A"/>
    <w:rsid w:val="6F844D49"/>
    <w:rsid w:val="6F86BEDD"/>
    <w:rsid w:val="6F879564"/>
    <w:rsid w:val="6F8B4B4A"/>
    <w:rsid w:val="6F8CC222"/>
    <w:rsid w:val="6F92F25C"/>
    <w:rsid w:val="6F98BA42"/>
    <w:rsid w:val="6F9B7C6D"/>
    <w:rsid w:val="6F9BC5D6"/>
    <w:rsid w:val="6FA3F7DA"/>
    <w:rsid w:val="6FA73331"/>
    <w:rsid w:val="6FA89D4E"/>
    <w:rsid w:val="6FB7D690"/>
    <w:rsid w:val="6FB99ADD"/>
    <w:rsid w:val="6FBB2A81"/>
    <w:rsid w:val="6FBFB3C8"/>
    <w:rsid w:val="6FC669CA"/>
    <w:rsid w:val="6FC8F048"/>
    <w:rsid w:val="6FCFB225"/>
    <w:rsid w:val="6FD2C6F8"/>
    <w:rsid w:val="6FD5778A"/>
    <w:rsid w:val="6FDD75B1"/>
    <w:rsid w:val="6FE90911"/>
    <w:rsid w:val="6FEA958E"/>
    <w:rsid w:val="7004DBF2"/>
    <w:rsid w:val="7012E3F1"/>
    <w:rsid w:val="701CB6DD"/>
    <w:rsid w:val="70261683"/>
    <w:rsid w:val="702826C4"/>
    <w:rsid w:val="702CDE91"/>
    <w:rsid w:val="7030DE89"/>
    <w:rsid w:val="70435349"/>
    <w:rsid w:val="7056533A"/>
    <w:rsid w:val="70566187"/>
    <w:rsid w:val="705C9BAA"/>
    <w:rsid w:val="7064FFD3"/>
    <w:rsid w:val="706F816E"/>
    <w:rsid w:val="707338FB"/>
    <w:rsid w:val="707E2576"/>
    <w:rsid w:val="707F4400"/>
    <w:rsid w:val="70914236"/>
    <w:rsid w:val="7091CF16"/>
    <w:rsid w:val="7093082E"/>
    <w:rsid w:val="709FC282"/>
    <w:rsid w:val="70A36496"/>
    <w:rsid w:val="70AA9C69"/>
    <w:rsid w:val="70AC1D15"/>
    <w:rsid w:val="70ACC6C5"/>
    <w:rsid w:val="70B78C45"/>
    <w:rsid w:val="70BBA80B"/>
    <w:rsid w:val="70C14CF7"/>
    <w:rsid w:val="70CAFBB7"/>
    <w:rsid w:val="70D6F444"/>
    <w:rsid w:val="70D7E1A9"/>
    <w:rsid w:val="70D9B26B"/>
    <w:rsid w:val="70E84229"/>
    <w:rsid w:val="70F496D3"/>
    <w:rsid w:val="70F64D72"/>
    <w:rsid w:val="70F819FC"/>
    <w:rsid w:val="70FA1954"/>
    <w:rsid w:val="70FDF06A"/>
    <w:rsid w:val="710199B9"/>
    <w:rsid w:val="711AEACF"/>
    <w:rsid w:val="711C90DA"/>
    <w:rsid w:val="7127549B"/>
    <w:rsid w:val="712F795F"/>
    <w:rsid w:val="71383BC7"/>
    <w:rsid w:val="713D55DB"/>
    <w:rsid w:val="713D84E2"/>
    <w:rsid w:val="714726DF"/>
    <w:rsid w:val="7149E025"/>
    <w:rsid w:val="7149FF1C"/>
    <w:rsid w:val="71557DE0"/>
    <w:rsid w:val="715F7EA2"/>
    <w:rsid w:val="71605FA3"/>
    <w:rsid w:val="716281E9"/>
    <w:rsid w:val="716F4B48"/>
    <w:rsid w:val="71718405"/>
    <w:rsid w:val="71775C46"/>
    <w:rsid w:val="7177780F"/>
    <w:rsid w:val="717E0C70"/>
    <w:rsid w:val="718BC3BF"/>
    <w:rsid w:val="71A2CDA0"/>
    <w:rsid w:val="71AB327B"/>
    <w:rsid w:val="71B8169B"/>
    <w:rsid w:val="71BA6729"/>
    <w:rsid w:val="71BB9A1D"/>
    <w:rsid w:val="71BF8CDF"/>
    <w:rsid w:val="71CC139D"/>
    <w:rsid w:val="71CF51BA"/>
    <w:rsid w:val="71D88D77"/>
    <w:rsid w:val="71DA5E77"/>
    <w:rsid w:val="71EFECB2"/>
    <w:rsid w:val="71F3B01E"/>
    <w:rsid w:val="7200FC8C"/>
    <w:rsid w:val="7208895C"/>
    <w:rsid w:val="720F8123"/>
    <w:rsid w:val="721320EC"/>
    <w:rsid w:val="72138FAA"/>
    <w:rsid w:val="72178ABE"/>
    <w:rsid w:val="7223E3EE"/>
    <w:rsid w:val="7234C2B4"/>
    <w:rsid w:val="72360117"/>
    <w:rsid w:val="7237D6D9"/>
    <w:rsid w:val="724D0FDF"/>
    <w:rsid w:val="725102D2"/>
    <w:rsid w:val="725B7A1E"/>
    <w:rsid w:val="726211F2"/>
    <w:rsid w:val="726703DC"/>
    <w:rsid w:val="7268B16C"/>
    <w:rsid w:val="726E0D77"/>
    <w:rsid w:val="726FF5C7"/>
    <w:rsid w:val="72745CB7"/>
    <w:rsid w:val="727AE242"/>
    <w:rsid w:val="72824ABE"/>
    <w:rsid w:val="7290119D"/>
    <w:rsid w:val="72918879"/>
    <w:rsid w:val="7299DBD3"/>
    <w:rsid w:val="729D7AEF"/>
    <w:rsid w:val="72A53195"/>
    <w:rsid w:val="72B5E627"/>
    <w:rsid w:val="72C77DE7"/>
    <w:rsid w:val="72C82817"/>
    <w:rsid w:val="72CC7C0E"/>
    <w:rsid w:val="72CCD5C4"/>
    <w:rsid w:val="72D6DBF8"/>
    <w:rsid w:val="72DC8131"/>
    <w:rsid w:val="72E8A4B0"/>
    <w:rsid w:val="72EF5AD6"/>
    <w:rsid w:val="72EFD99B"/>
    <w:rsid w:val="72F2F632"/>
    <w:rsid w:val="72F30071"/>
    <w:rsid w:val="72F6EE4D"/>
    <w:rsid w:val="72FE5785"/>
    <w:rsid w:val="7306119F"/>
    <w:rsid w:val="7307343A"/>
    <w:rsid w:val="730B1B7F"/>
    <w:rsid w:val="73122272"/>
    <w:rsid w:val="7313DFB9"/>
    <w:rsid w:val="731F75E5"/>
    <w:rsid w:val="7320A83E"/>
    <w:rsid w:val="7322B13F"/>
    <w:rsid w:val="732CEBC9"/>
    <w:rsid w:val="73364107"/>
    <w:rsid w:val="73389C82"/>
    <w:rsid w:val="73395586"/>
    <w:rsid w:val="73415ABA"/>
    <w:rsid w:val="734DD30C"/>
    <w:rsid w:val="735030EC"/>
    <w:rsid w:val="73539F03"/>
    <w:rsid w:val="7354E5A3"/>
    <w:rsid w:val="7356D104"/>
    <w:rsid w:val="735AA996"/>
    <w:rsid w:val="73624DDD"/>
    <w:rsid w:val="736396D2"/>
    <w:rsid w:val="7366207A"/>
    <w:rsid w:val="736AEE2C"/>
    <w:rsid w:val="736BEAA5"/>
    <w:rsid w:val="73741EBF"/>
    <w:rsid w:val="737C75E8"/>
    <w:rsid w:val="73811AA4"/>
    <w:rsid w:val="73837536"/>
    <w:rsid w:val="7384B384"/>
    <w:rsid w:val="738C7C25"/>
    <w:rsid w:val="738D6F0E"/>
    <w:rsid w:val="73931DB9"/>
    <w:rsid w:val="73A3F42C"/>
    <w:rsid w:val="73A5D8CF"/>
    <w:rsid w:val="73B8C6A8"/>
    <w:rsid w:val="73C0E2F7"/>
    <w:rsid w:val="73C798BA"/>
    <w:rsid w:val="73C7C7BF"/>
    <w:rsid w:val="73C9069F"/>
    <w:rsid w:val="73CEEBF4"/>
    <w:rsid w:val="73D0D07E"/>
    <w:rsid w:val="73DCCEEC"/>
    <w:rsid w:val="73DE39C4"/>
    <w:rsid w:val="73E16B47"/>
    <w:rsid w:val="73E94BE8"/>
    <w:rsid w:val="73F5753C"/>
    <w:rsid w:val="73FA25AF"/>
    <w:rsid w:val="73FD8BC8"/>
    <w:rsid w:val="73FF2D8D"/>
    <w:rsid w:val="7406FD2F"/>
    <w:rsid w:val="741618A5"/>
    <w:rsid w:val="74250075"/>
    <w:rsid w:val="742E7F79"/>
    <w:rsid w:val="7438B8E0"/>
    <w:rsid w:val="743A94ED"/>
    <w:rsid w:val="743E154B"/>
    <w:rsid w:val="744B3D60"/>
    <w:rsid w:val="74527F30"/>
    <w:rsid w:val="7455BA9B"/>
    <w:rsid w:val="7462EE6F"/>
    <w:rsid w:val="7463766C"/>
    <w:rsid w:val="7463841B"/>
    <w:rsid w:val="74657BE2"/>
    <w:rsid w:val="7467B33D"/>
    <w:rsid w:val="7478E6CD"/>
    <w:rsid w:val="747F1197"/>
    <w:rsid w:val="74800B51"/>
    <w:rsid w:val="748AD85D"/>
    <w:rsid w:val="7491E43E"/>
    <w:rsid w:val="74988D87"/>
    <w:rsid w:val="749A516D"/>
    <w:rsid w:val="74A7527B"/>
    <w:rsid w:val="74AD6352"/>
    <w:rsid w:val="74B0A98D"/>
    <w:rsid w:val="74B40218"/>
    <w:rsid w:val="74CF1D47"/>
    <w:rsid w:val="74D8283A"/>
    <w:rsid w:val="74E6C147"/>
    <w:rsid w:val="74E896B1"/>
    <w:rsid w:val="74F96E54"/>
    <w:rsid w:val="74FD7A97"/>
    <w:rsid w:val="75072B4A"/>
    <w:rsid w:val="750C1194"/>
    <w:rsid w:val="750F4049"/>
    <w:rsid w:val="75130932"/>
    <w:rsid w:val="751A4EAC"/>
    <w:rsid w:val="751AD8EB"/>
    <w:rsid w:val="751F2E42"/>
    <w:rsid w:val="75322631"/>
    <w:rsid w:val="753507FF"/>
    <w:rsid w:val="7536292A"/>
    <w:rsid w:val="7537F40F"/>
    <w:rsid w:val="754135B6"/>
    <w:rsid w:val="7543269E"/>
    <w:rsid w:val="7552BA52"/>
    <w:rsid w:val="7552E7F4"/>
    <w:rsid w:val="75585D41"/>
    <w:rsid w:val="755B6486"/>
    <w:rsid w:val="756050DE"/>
    <w:rsid w:val="757738AB"/>
    <w:rsid w:val="757D8AC3"/>
    <w:rsid w:val="75838343"/>
    <w:rsid w:val="758423BA"/>
    <w:rsid w:val="758F107F"/>
    <w:rsid w:val="759C3383"/>
    <w:rsid w:val="759F9E6B"/>
    <w:rsid w:val="75A1EE34"/>
    <w:rsid w:val="75B60C38"/>
    <w:rsid w:val="75C65554"/>
    <w:rsid w:val="75C6CD49"/>
    <w:rsid w:val="75D5CDC1"/>
    <w:rsid w:val="75D5D2E9"/>
    <w:rsid w:val="75DFE32B"/>
    <w:rsid w:val="75EB5054"/>
    <w:rsid w:val="75F11489"/>
    <w:rsid w:val="75F6CC55"/>
    <w:rsid w:val="7604AC8E"/>
    <w:rsid w:val="760A21E4"/>
    <w:rsid w:val="7614B70D"/>
    <w:rsid w:val="76151770"/>
    <w:rsid w:val="76153EC7"/>
    <w:rsid w:val="761AC4FD"/>
    <w:rsid w:val="761C2707"/>
    <w:rsid w:val="761C33D3"/>
    <w:rsid w:val="761F29DB"/>
    <w:rsid w:val="76228F25"/>
    <w:rsid w:val="762722AC"/>
    <w:rsid w:val="762F23DC"/>
    <w:rsid w:val="762F3162"/>
    <w:rsid w:val="76345345"/>
    <w:rsid w:val="764BD0FE"/>
    <w:rsid w:val="764D59A1"/>
    <w:rsid w:val="764D78E8"/>
    <w:rsid w:val="765E74C1"/>
    <w:rsid w:val="765F3D5F"/>
    <w:rsid w:val="766C22B7"/>
    <w:rsid w:val="76777934"/>
    <w:rsid w:val="7678C0C3"/>
    <w:rsid w:val="767F5D20"/>
    <w:rsid w:val="7681A825"/>
    <w:rsid w:val="768B064C"/>
    <w:rsid w:val="76986AC7"/>
    <w:rsid w:val="7699CB3B"/>
    <w:rsid w:val="76B0F46A"/>
    <w:rsid w:val="76B139F7"/>
    <w:rsid w:val="76B1B11E"/>
    <w:rsid w:val="76B48DBD"/>
    <w:rsid w:val="76BCAAD2"/>
    <w:rsid w:val="76BF6D59"/>
    <w:rsid w:val="76CE3892"/>
    <w:rsid w:val="76F6C021"/>
    <w:rsid w:val="76FBE088"/>
    <w:rsid w:val="76FE1DE3"/>
    <w:rsid w:val="77129C8E"/>
    <w:rsid w:val="771D9780"/>
    <w:rsid w:val="7728ADC6"/>
    <w:rsid w:val="772AB6BE"/>
    <w:rsid w:val="772D317A"/>
    <w:rsid w:val="772E9F43"/>
    <w:rsid w:val="7741CAE7"/>
    <w:rsid w:val="77509234"/>
    <w:rsid w:val="7759D45B"/>
    <w:rsid w:val="775A4370"/>
    <w:rsid w:val="775B9CC5"/>
    <w:rsid w:val="7770DC67"/>
    <w:rsid w:val="7771A34A"/>
    <w:rsid w:val="77766DAA"/>
    <w:rsid w:val="77A0C0D6"/>
    <w:rsid w:val="77A7EE13"/>
    <w:rsid w:val="77D08CC8"/>
    <w:rsid w:val="77D24946"/>
    <w:rsid w:val="77D4A969"/>
    <w:rsid w:val="77D92898"/>
    <w:rsid w:val="77DD38B9"/>
    <w:rsid w:val="77DE062B"/>
    <w:rsid w:val="77E31496"/>
    <w:rsid w:val="77E58674"/>
    <w:rsid w:val="77E6F49E"/>
    <w:rsid w:val="77EB36EF"/>
    <w:rsid w:val="77EE218E"/>
    <w:rsid w:val="77F36273"/>
    <w:rsid w:val="77FCBA0A"/>
    <w:rsid w:val="78018575"/>
    <w:rsid w:val="78093100"/>
    <w:rsid w:val="7813F33C"/>
    <w:rsid w:val="78186742"/>
    <w:rsid w:val="781D6801"/>
    <w:rsid w:val="7826784A"/>
    <w:rsid w:val="78274FCC"/>
    <w:rsid w:val="782AC1D0"/>
    <w:rsid w:val="7839F481"/>
    <w:rsid w:val="78426F6C"/>
    <w:rsid w:val="7843DC75"/>
    <w:rsid w:val="784DF61B"/>
    <w:rsid w:val="7854D79E"/>
    <w:rsid w:val="785726FA"/>
    <w:rsid w:val="7862D7B8"/>
    <w:rsid w:val="78646F75"/>
    <w:rsid w:val="786D6465"/>
    <w:rsid w:val="787450E2"/>
    <w:rsid w:val="7877851F"/>
    <w:rsid w:val="78778CD6"/>
    <w:rsid w:val="78781795"/>
    <w:rsid w:val="7878188B"/>
    <w:rsid w:val="78829E5D"/>
    <w:rsid w:val="78895216"/>
    <w:rsid w:val="78902C16"/>
    <w:rsid w:val="78905896"/>
    <w:rsid w:val="78922412"/>
    <w:rsid w:val="789681B6"/>
    <w:rsid w:val="789DCD65"/>
    <w:rsid w:val="78A18E44"/>
    <w:rsid w:val="78ABA1D0"/>
    <w:rsid w:val="78B000D7"/>
    <w:rsid w:val="78B17C36"/>
    <w:rsid w:val="78D0D911"/>
    <w:rsid w:val="78D3E0ED"/>
    <w:rsid w:val="78D463B0"/>
    <w:rsid w:val="78E122C8"/>
    <w:rsid w:val="78E42A04"/>
    <w:rsid w:val="78E47ACE"/>
    <w:rsid w:val="78E6B7B4"/>
    <w:rsid w:val="78EC7062"/>
    <w:rsid w:val="78EE84BF"/>
    <w:rsid w:val="78F3BD12"/>
    <w:rsid w:val="78F3FD58"/>
    <w:rsid w:val="78FC692C"/>
    <w:rsid w:val="78FDFB6E"/>
    <w:rsid w:val="7901102F"/>
    <w:rsid w:val="7912E52F"/>
    <w:rsid w:val="79132C6E"/>
    <w:rsid w:val="791B1D9A"/>
    <w:rsid w:val="791C846E"/>
    <w:rsid w:val="7925CC56"/>
    <w:rsid w:val="79294466"/>
    <w:rsid w:val="7937D7C3"/>
    <w:rsid w:val="7938937A"/>
    <w:rsid w:val="7943E9F7"/>
    <w:rsid w:val="794B1E9D"/>
    <w:rsid w:val="7950AC7E"/>
    <w:rsid w:val="7967BC35"/>
    <w:rsid w:val="796F68E8"/>
    <w:rsid w:val="79706021"/>
    <w:rsid w:val="79711013"/>
    <w:rsid w:val="797DBB4C"/>
    <w:rsid w:val="7984ABE7"/>
    <w:rsid w:val="798DA983"/>
    <w:rsid w:val="798F3E59"/>
    <w:rsid w:val="79904050"/>
    <w:rsid w:val="7991273C"/>
    <w:rsid w:val="79A0B96E"/>
    <w:rsid w:val="79B2F3DC"/>
    <w:rsid w:val="79C2FE45"/>
    <w:rsid w:val="79CA4E45"/>
    <w:rsid w:val="79CBEF85"/>
    <w:rsid w:val="79CD2172"/>
    <w:rsid w:val="79D41E77"/>
    <w:rsid w:val="79DA2B0B"/>
    <w:rsid w:val="79DFE74A"/>
    <w:rsid w:val="79E2F795"/>
    <w:rsid w:val="79E44BE2"/>
    <w:rsid w:val="79FDB389"/>
    <w:rsid w:val="79FE05BC"/>
    <w:rsid w:val="79FEA472"/>
    <w:rsid w:val="7A002BA0"/>
    <w:rsid w:val="7A0200E7"/>
    <w:rsid w:val="7A0A1797"/>
    <w:rsid w:val="7A0DE70F"/>
    <w:rsid w:val="7A1C9A0E"/>
    <w:rsid w:val="7A27E5C4"/>
    <w:rsid w:val="7A2FAFA3"/>
    <w:rsid w:val="7A355B00"/>
    <w:rsid w:val="7A3E8B4A"/>
    <w:rsid w:val="7A3E9D13"/>
    <w:rsid w:val="7A400C80"/>
    <w:rsid w:val="7A42C2A5"/>
    <w:rsid w:val="7A47542A"/>
    <w:rsid w:val="7A544136"/>
    <w:rsid w:val="7A6A6F28"/>
    <w:rsid w:val="7A6AAC9A"/>
    <w:rsid w:val="7A6E52B2"/>
    <w:rsid w:val="7A7D10D3"/>
    <w:rsid w:val="7A7D6670"/>
    <w:rsid w:val="7A7F13A9"/>
    <w:rsid w:val="7A802DE8"/>
    <w:rsid w:val="7A827F5A"/>
    <w:rsid w:val="7A83CAD7"/>
    <w:rsid w:val="7A933B85"/>
    <w:rsid w:val="7A960AE9"/>
    <w:rsid w:val="7A98852C"/>
    <w:rsid w:val="7A99691A"/>
    <w:rsid w:val="7AA3A123"/>
    <w:rsid w:val="7AB89AB5"/>
    <w:rsid w:val="7AC0B194"/>
    <w:rsid w:val="7AD0025C"/>
    <w:rsid w:val="7AD48E5B"/>
    <w:rsid w:val="7AE96C72"/>
    <w:rsid w:val="7AEDB0F9"/>
    <w:rsid w:val="7AF6522E"/>
    <w:rsid w:val="7AF7DD48"/>
    <w:rsid w:val="7B01508D"/>
    <w:rsid w:val="7B02D556"/>
    <w:rsid w:val="7B192F56"/>
    <w:rsid w:val="7B1A80B1"/>
    <w:rsid w:val="7B206A30"/>
    <w:rsid w:val="7B21BC4B"/>
    <w:rsid w:val="7B241BD1"/>
    <w:rsid w:val="7B35A4D2"/>
    <w:rsid w:val="7B3AEC9F"/>
    <w:rsid w:val="7B40B213"/>
    <w:rsid w:val="7B421A74"/>
    <w:rsid w:val="7B4D2963"/>
    <w:rsid w:val="7B5D7FC3"/>
    <w:rsid w:val="7B6C3FC0"/>
    <w:rsid w:val="7B6C4AD7"/>
    <w:rsid w:val="7B72FDDA"/>
    <w:rsid w:val="7B7C75F1"/>
    <w:rsid w:val="7B7DE8F2"/>
    <w:rsid w:val="7B86DE92"/>
    <w:rsid w:val="7B882142"/>
    <w:rsid w:val="7B99407D"/>
    <w:rsid w:val="7B9EFE3B"/>
    <w:rsid w:val="7BAE606A"/>
    <w:rsid w:val="7BBFF65F"/>
    <w:rsid w:val="7BC461F0"/>
    <w:rsid w:val="7BC85D60"/>
    <w:rsid w:val="7BCB0A77"/>
    <w:rsid w:val="7BCB8004"/>
    <w:rsid w:val="7BD57FDE"/>
    <w:rsid w:val="7BD6B764"/>
    <w:rsid w:val="7BE15E23"/>
    <w:rsid w:val="7BE94BA9"/>
    <w:rsid w:val="7BEC251E"/>
    <w:rsid w:val="7BECD980"/>
    <w:rsid w:val="7BEDC539"/>
    <w:rsid w:val="7BF5A13D"/>
    <w:rsid w:val="7BF6761E"/>
    <w:rsid w:val="7BFABB53"/>
    <w:rsid w:val="7C002911"/>
    <w:rsid w:val="7C01D5B7"/>
    <w:rsid w:val="7C03A6B7"/>
    <w:rsid w:val="7C130B33"/>
    <w:rsid w:val="7C15BA06"/>
    <w:rsid w:val="7C179032"/>
    <w:rsid w:val="7C17AC36"/>
    <w:rsid w:val="7C1AB231"/>
    <w:rsid w:val="7C1AB5D0"/>
    <w:rsid w:val="7C2428A2"/>
    <w:rsid w:val="7C252E75"/>
    <w:rsid w:val="7C260D7E"/>
    <w:rsid w:val="7C262AAD"/>
    <w:rsid w:val="7C2C6364"/>
    <w:rsid w:val="7C4FB8C0"/>
    <w:rsid w:val="7C5529E5"/>
    <w:rsid w:val="7C5BEC98"/>
    <w:rsid w:val="7C687E2F"/>
    <w:rsid w:val="7C6966AE"/>
    <w:rsid w:val="7C6FE7DB"/>
    <w:rsid w:val="7C71FDB2"/>
    <w:rsid w:val="7C73CA28"/>
    <w:rsid w:val="7C759B28"/>
    <w:rsid w:val="7C960CC2"/>
    <w:rsid w:val="7C985D6E"/>
    <w:rsid w:val="7C9884BA"/>
    <w:rsid w:val="7C9C7C24"/>
    <w:rsid w:val="7C9EDD9B"/>
    <w:rsid w:val="7CA298AA"/>
    <w:rsid w:val="7CB0587F"/>
    <w:rsid w:val="7CCC8A11"/>
    <w:rsid w:val="7CD0F292"/>
    <w:rsid w:val="7CD3A367"/>
    <w:rsid w:val="7CD70E50"/>
    <w:rsid w:val="7CDA59FC"/>
    <w:rsid w:val="7CDC3ECB"/>
    <w:rsid w:val="7CDDE01B"/>
    <w:rsid w:val="7CE06EF5"/>
    <w:rsid w:val="7CE0F3E1"/>
    <w:rsid w:val="7CE58B3F"/>
    <w:rsid w:val="7CF8D788"/>
    <w:rsid w:val="7CFA2218"/>
    <w:rsid w:val="7CFCF78A"/>
    <w:rsid w:val="7D185214"/>
    <w:rsid w:val="7D2011B0"/>
    <w:rsid w:val="7D2241D3"/>
    <w:rsid w:val="7D24C95C"/>
    <w:rsid w:val="7D2F5E52"/>
    <w:rsid w:val="7D434860"/>
    <w:rsid w:val="7D4832C5"/>
    <w:rsid w:val="7D528822"/>
    <w:rsid w:val="7D52C9C7"/>
    <w:rsid w:val="7D569D49"/>
    <w:rsid w:val="7D56C51A"/>
    <w:rsid w:val="7D581C84"/>
    <w:rsid w:val="7D5FC5EE"/>
    <w:rsid w:val="7D603251"/>
    <w:rsid w:val="7D62D5ED"/>
    <w:rsid w:val="7D63C9B9"/>
    <w:rsid w:val="7D731F3D"/>
    <w:rsid w:val="7D76931F"/>
    <w:rsid w:val="7D76D10E"/>
    <w:rsid w:val="7D77023D"/>
    <w:rsid w:val="7D848F9D"/>
    <w:rsid w:val="7D84A099"/>
    <w:rsid w:val="7D8C059F"/>
    <w:rsid w:val="7D943295"/>
    <w:rsid w:val="7D95D254"/>
    <w:rsid w:val="7D960525"/>
    <w:rsid w:val="7D9F260C"/>
    <w:rsid w:val="7DA2DF46"/>
    <w:rsid w:val="7DB99625"/>
    <w:rsid w:val="7DBB11B4"/>
    <w:rsid w:val="7DC6C14D"/>
    <w:rsid w:val="7DD11B25"/>
    <w:rsid w:val="7DE90FBD"/>
    <w:rsid w:val="7DE930AA"/>
    <w:rsid w:val="7DEBDEDE"/>
    <w:rsid w:val="7DFDE194"/>
    <w:rsid w:val="7E048415"/>
    <w:rsid w:val="7E04FA3B"/>
    <w:rsid w:val="7E087F42"/>
    <w:rsid w:val="7E0B2984"/>
    <w:rsid w:val="7E14AB09"/>
    <w:rsid w:val="7E17B48A"/>
    <w:rsid w:val="7E1A92D1"/>
    <w:rsid w:val="7E1B9135"/>
    <w:rsid w:val="7E1DA9E5"/>
    <w:rsid w:val="7E26BCB7"/>
    <w:rsid w:val="7E297DBD"/>
    <w:rsid w:val="7E2AEAF3"/>
    <w:rsid w:val="7E2BA065"/>
    <w:rsid w:val="7E2C30F0"/>
    <w:rsid w:val="7E3A8414"/>
    <w:rsid w:val="7E4664C0"/>
    <w:rsid w:val="7E469B8E"/>
    <w:rsid w:val="7E4FCAF3"/>
    <w:rsid w:val="7E50779E"/>
    <w:rsid w:val="7E63BD1D"/>
    <w:rsid w:val="7E63EA37"/>
    <w:rsid w:val="7E8A4073"/>
    <w:rsid w:val="7E953849"/>
    <w:rsid w:val="7E9BBE0E"/>
    <w:rsid w:val="7E9ED1A6"/>
    <w:rsid w:val="7EA87488"/>
    <w:rsid w:val="7EAAC976"/>
    <w:rsid w:val="7EAE6041"/>
    <w:rsid w:val="7EBC197D"/>
    <w:rsid w:val="7EBE49E2"/>
    <w:rsid w:val="7ECA0B44"/>
    <w:rsid w:val="7ED1E53A"/>
    <w:rsid w:val="7EDEEBDB"/>
    <w:rsid w:val="7EEB889F"/>
    <w:rsid w:val="7EEC15A9"/>
    <w:rsid w:val="7EF35949"/>
    <w:rsid w:val="7EF5B912"/>
    <w:rsid w:val="7EFE96E1"/>
    <w:rsid w:val="7F120E36"/>
    <w:rsid w:val="7F1E9DAD"/>
    <w:rsid w:val="7F268E5D"/>
    <w:rsid w:val="7F26F6E8"/>
    <w:rsid w:val="7F27BDEC"/>
    <w:rsid w:val="7F2868BC"/>
    <w:rsid w:val="7F2CAA87"/>
    <w:rsid w:val="7F2E2B33"/>
    <w:rsid w:val="7F2F8F39"/>
    <w:rsid w:val="7F344000"/>
    <w:rsid w:val="7F379CC4"/>
    <w:rsid w:val="7F3A344D"/>
    <w:rsid w:val="7F3CDF8B"/>
    <w:rsid w:val="7F442548"/>
    <w:rsid w:val="7F59620E"/>
    <w:rsid w:val="7F73A24A"/>
    <w:rsid w:val="7F747EEE"/>
    <w:rsid w:val="7F7DE530"/>
    <w:rsid w:val="7F803116"/>
    <w:rsid w:val="7F836DB7"/>
    <w:rsid w:val="7F9C05F3"/>
    <w:rsid w:val="7FA5EA57"/>
    <w:rsid w:val="7FA6F9E5"/>
    <w:rsid w:val="7FA94671"/>
    <w:rsid w:val="7FAAD0A0"/>
    <w:rsid w:val="7FAFDEA6"/>
    <w:rsid w:val="7FB3E1FF"/>
    <w:rsid w:val="7FB46F54"/>
    <w:rsid w:val="7FB8AFD6"/>
    <w:rsid w:val="7FBD0686"/>
    <w:rsid w:val="7FBE3F34"/>
    <w:rsid w:val="7FC5A508"/>
    <w:rsid w:val="7FC6547F"/>
    <w:rsid w:val="7FDCD3B8"/>
    <w:rsid w:val="7FE2247B"/>
    <w:rsid w:val="7FEAE66A"/>
    <w:rsid w:val="7FF22587"/>
    <w:rsid w:val="7FF5E42D"/>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C7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Cs/>
        <w:sz w:val="24"/>
        <w:szCs w:val="24"/>
        <w:lang w:val="en-US" w:eastAsia="en-US" w:bidi="ar-SA"/>
      </w:rPr>
    </w:rPrDefault>
    <w:pPrDefault>
      <w:pPr>
        <w:ind w:left="720" w:right="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76F"/>
    <w:pPr>
      <w:ind w:left="0" w:right="0"/>
      <w:jc w:val="both"/>
    </w:pPr>
    <w:rPr>
      <w:bCs w:val="0"/>
    </w:rPr>
  </w:style>
  <w:style w:type="paragraph" w:styleId="Heading1">
    <w:name w:val="heading 1"/>
    <w:basedOn w:val="Normal"/>
    <w:next w:val="Normal"/>
    <w:link w:val="Heading1Char"/>
    <w:uiPriority w:val="9"/>
    <w:qFormat/>
    <w:rsid w:val="002363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363B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363B5"/>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9E4"/>
    <w:pPr>
      <w:tabs>
        <w:tab w:val="center" w:pos="4680"/>
        <w:tab w:val="right" w:pos="9360"/>
      </w:tabs>
    </w:pPr>
  </w:style>
  <w:style w:type="character" w:customStyle="1" w:styleId="HeaderChar">
    <w:name w:val="Header Char"/>
    <w:basedOn w:val="DefaultParagraphFont"/>
    <w:link w:val="Header"/>
    <w:uiPriority w:val="99"/>
    <w:rsid w:val="002559E4"/>
    <w:rPr>
      <w:rFonts w:ascii="Times New Roman" w:hAnsi="Times New Roman"/>
      <w:sz w:val="24"/>
    </w:rPr>
  </w:style>
  <w:style w:type="paragraph" w:styleId="Footer">
    <w:name w:val="footer"/>
    <w:basedOn w:val="Normal"/>
    <w:link w:val="FooterChar"/>
    <w:uiPriority w:val="99"/>
    <w:unhideWhenUsed/>
    <w:rsid w:val="002559E4"/>
    <w:pPr>
      <w:tabs>
        <w:tab w:val="center" w:pos="4680"/>
        <w:tab w:val="right" w:pos="9360"/>
      </w:tabs>
    </w:pPr>
  </w:style>
  <w:style w:type="character" w:customStyle="1" w:styleId="FooterChar">
    <w:name w:val="Footer Char"/>
    <w:basedOn w:val="DefaultParagraphFont"/>
    <w:link w:val="Footer"/>
    <w:uiPriority w:val="99"/>
    <w:rsid w:val="002559E4"/>
    <w:rPr>
      <w:rFonts w:ascii="Times New Roman" w:hAnsi="Times New Roman"/>
      <w:sz w:val="24"/>
    </w:rPr>
  </w:style>
  <w:style w:type="paragraph" w:styleId="TOC2">
    <w:name w:val="toc 2"/>
    <w:uiPriority w:val="39"/>
    <w:unhideWhenUsed/>
    <w:rsid w:val="00D674DA"/>
    <w:pPr>
      <w:tabs>
        <w:tab w:val="left" w:pos="720"/>
        <w:tab w:val="left" w:pos="1440"/>
        <w:tab w:val="left" w:pos="2160"/>
        <w:tab w:val="right" w:leader="dot" w:pos="9346"/>
      </w:tabs>
    </w:pPr>
    <w:rPr>
      <w:rFonts w:eastAsia="Times New Roman"/>
    </w:rPr>
  </w:style>
  <w:style w:type="paragraph" w:styleId="TOC1">
    <w:name w:val="toc 1"/>
    <w:uiPriority w:val="39"/>
    <w:unhideWhenUsed/>
    <w:rsid w:val="00BD6779"/>
    <w:pPr>
      <w:tabs>
        <w:tab w:val="left" w:pos="720"/>
        <w:tab w:val="left" w:pos="1440"/>
        <w:tab w:val="right" w:leader="dot" w:pos="9346"/>
      </w:tabs>
      <w:spacing w:before="240" w:after="240"/>
      <w:ind w:left="0" w:right="0"/>
    </w:pPr>
    <w:rPr>
      <w:caps/>
      <w:noProof/>
    </w:rPr>
  </w:style>
  <w:style w:type="paragraph" w:customStyle="1" w:styleId="PCROutline1">
    <w:name w:val="PCR Outline1"/>
    <w:qFormat/>
    <w:rsid w:val="00D674DA"/>
    <w:pPr>
      <w:tabs>
        <w:tab w:val="left" w:pos="432"/>
        <w:tab w:val="num" w:pos="3870"/>
      </w:tabs>
      <w:spacing w:after="240"/>
      <w:ind w:left="3870" w:right="0" w:hanging="720"/>
      <w:jc w:val="center"/>
      <w:outlineLvl w:val="0"/>
    </w:pPr>
    <w:rPr>
      <w:rFonts w:eastAsia="Times New Roman"/>
      <w:b/>
      <w:bCs w:val="0"/>
    </w:rPr>
  </w:style>
  <w:style w:type="paragraph" w:customStyle="1" w:styleId="PCROutline2">
    <w:name w:val="PCR Outline2"/>
    <w:qFormat/>
    <w:rsid w:val="00D674DA"/>
    <w:pPr>
      <w:numPr>
        <w:ilvl w:val="1"/>
        <w:numId w:val="2"/>
      </w:numPr>
      <w:spacing w:after="240"/>
      <w:ind w:right="0"/>
      <w:jc w:val="both"/>
      <w:outlineLvl w:val="1"/>
    </w:pPr>
    <w:rPr>
      <w:rFonts w:eastAsia="Times New Roman"/>
      <w:b/>
      <w:bCs w:val="0"/>
    </w:rPr>
  </w:style>
  <w:style w:type="paragraph" w:customStyle="1" w:styleId="PCROutline3">
    <w:name w:val="PCR Outline3"/>
    <w:rsid w:val="00D674DA"/>
    <w:pPr>
      <w:numPr>
        <w:ilvl w:val="2"/>
        <w:numId w:val="2"/>
      </w:numPr>
      <w:tabs>
        <w:tab w:val="left" w:pos="1440"/>
      </w:tabs>
      <w:spacing w:after="240"/>
      <w:ind w:right="0"/>
      <w:jc w:val="both"/>
      <w:outlineLvl w:val="2"/>
    </w:pPr>
    <w:rPr>
      <w:rFonts w:eastAsia="Times New Roman"/>
      <w:b/>
      <w:bCs w:val="0"/>
    </w:rPr>
  </w:style>
  <w:style w:type="paragraph" w:customStyle="1" w:styleId="PCROutline4">
    <w:name w:val="PCR Outline4"/>
    <w:rsid w:val="00D674DA"/>
    <w:pPr>
      <w:numPr>
        <w:ilvl w:val="3"/>
        <w:numId w:val="2"/>
      </w:numPr>
      <w:tabs>
        <w:tab w:val="left" w:pos="2160"/>
      </w:tabs>
      <w:spacing w:after="240"/>
      <w:ind w:right="0"/>
      <w:jc w:val="both"/>
      <w:outlineLvl w:val="3"/>
    </w:pPr>
    <w:rPr>
      <w:rFonts w:eastAsia="Times New Roman"/>
      <w:b/>
      <w:bCs w:val="0"/>
    </w:rPr>
  </w:style>
  <w:style w:type="paragraph" w:customStyle="1" w:styleId="PCROutline5">
    <w:name w:val="PCR Outline5"/>
    <w:rsid w:val="00D674DA"/>
    <w:pPr>
      <w:numPr>
        <w:ilvl w:val="4"/>
        <w:numId w:val="2"/>
      </w:numPr>
      <w:spacing w:after="240"/>
      <w:ind w:right="0"/>
      <w:jc w:val="both"/>
      <w:outlineLvl w:val="4"/>
    </w:pPr>
    <w:rPr>
      <w:rFonts w:eastAsia="Times New Roman"/>
      <w:b/>
      <w:bCs w:val="0"/>
    </w:rPr>
  </w:style>
  <w:style w:type="paragraph" w:customStyle="1" w:styleId="PCROutline6">
    <w:name w:val="PCR Outline6"/>
    <w:rsid w:val="00D674DA"/>
    <w:pPr>
      <w:numPr>
        <w:ilvl w:val="5"/>
        <w:numId w:val="2"/>
      </w:numPr>
      <w:spacing w:after="240"/>
      <w:ind w:right="0"/>
      <w:jc w:val="both"/>
      <w:outlineLvl w:val="5"/>
    </w:pPr>
    <w:rPr>
      <w:rFonts w:eastAsia="Times New Roman"/>
      <w:b/>
      <w:bCs w:val="0"/>
    </w:rPr>
  </w:style>
  <w:style w:type="paragraph" w:customStyle="1" w:styleId="PCROutline7">
    <w:name w:val="PCR Outline7"/>
    <w:rsid w:val="00D674DA"/>
    <w:pPr>
      <w:numPr>
        <w:ilvl w:val="6"/>
        <w:numId w:val="2"/>
      </w:numPr>
      <w:spacing w:after="240"/>
      <w:ind w:right="0"/>
      <w:jc w:val="both"/>
      <w:outlineLvl w:val="6"/>
    </w:pPr>
    <w:rPr>
      <w:rFonts w:eastAsia="Times New Roman"/>
      <w:b/>
      <w:bCs w:val="0"/>
    </w:rPr>
  </w:style>
  <w:style w:type="paragraph" w:customStyle="1" w:styleId="PCROutline8">
    <w:name w:val="PCR Outline8"/>
    <w:rsid w:val="00D674DA"/>
    <w:pPr>
      <w:numPr>
        <w:ilvl w:val="7"/>
        <w:numId w:val="2"/>
      </w:numPr>
      <w:spacing w:after="240"/>
      <w:ind w:right="0"/>
      <w:jc w:val="both"/>
      <w:outlineLvl w:val="7"/>
    </w:pPr>
    <w:rPr>
      <w:rFonts w:eastAsia="Times New Roman"/>
      <w:b/>
      <w:bCs w:val="0"/>
    </w:rPr>
  </w:style>
  <w:style w:type="paragraph" w:customStyle="1" w:styleId="PCROutline9">
    <w:name w:val="PCR Outline9"/>
    <w:rsid w:val="00D674DA"/>
    <w:pPr>
      <w:numPr>
        <w:ilvl w:val="8"/>
        <w:numId w:val="2"/>
      </w:numPr>
      <w:spacing w:after="240"/>
      <w:ind w:right="0"/>
      <w:jc w:val="both"/>
      <w:outlineLvl w:val="8"/>
    </w:pPr>
    <w:rPr>
      <w:rFonts w:eastAsia="Times New Roman"/>
      <w:b/>
      <w:bCs w:val="0"/>
    </w:rPr>
  </w:style>
  <w:style w:type="character" w:customStyle="1" w:styleId="Heading1Char">
    <w:name w:val="Heading 1 Char"/>
    <w:basedOn w:val="DefaultParagraphFont"/>
    <w:link w:val="Heading1"/>
    <w:uiPriority w:val="9"/>
    <w:rsid w:val="002363B5"/>
    <w:rPr>
      <w:rFonts w:asciiTheme="majorHAnsi" w:eastAsiaTheme="majorEastAsia" w:hAnsiTheme="majorHAnsi" w:cstheme="majorBidi"/>
      <w:b/>
      <w:bCs w:val="0"/>
      <w:color w:val="365F91" w:themeColor="accent1" w:themeShade="BF"/>
      <w:sz w:val="28"/>
      <w:szCs w:val="28"/>
    </w:rPr>
  </w:style>
  <w:style w:type="character" w:customStyle="1" w:styleId="Heading2Char">
    <w:name w:val="Heading 2 Char"/>
    <w:basedOn w:val="DefaultParagraphFont"/>
    <w:link w:val="Heading2"/>
    <w:uiPriority w:val="9"/>
    <w:semiHidden/>
    <w:rsid w:val="002363B5"/>
    <w:rPr>
      <w:rFonts w:asciiTheme="majorHAnsi" w:eastAsiaTheme="majorEastAsia" w:hAnsiTheme="majorHAnsi" w:cstheme="majorBidi"/>
      <w:b/>
      <w:bCs w:val="0"/>
      <w:color w:val="4F81BD" w:themeColor="accent1"/>
      <w:sz w:val="26"/>
      <w:szCs w:val="26"/>
    </w:rPr>
  </w:style>
  <w:style w:type="character" w:customStyle="1" w:styleId="Heading3Char">
    <w:name w:val="Heading 3 Char"/>
    <w:basedOn w:val="DefaultParagraphFont"/>
    <w:link w:val="Heading3"/>
    <w:uiPriority w:val="9"/>
    <w:semiHidden/>
    <w:rsid w:val="002363B5"/>
    <w:rPr>
      <w:rFonts w:asciiTheme="majorHAnsi" w:eastAsiaTheme="majorEastAsia" w:hAnsiTheme="majorHAnsi" w:cstheme="majorBidi"/>
      <w:b/>
      <w:bCs w:val="0"/>
      <w:color w:val="4F81BD" w:themeColor="accent1"/>
    </w:rPr>
  </w:style>
  <w:style w:type="paragraph" w:styleId="TOC3">
    <w:name w:val="toc 3"/>
    <w:basedOn w:val="Normal"/>
    <w:next w:val="Normal"/>
    <w:autoRedefine/>
    <w:uiPriority w:val="39"/>
    <w:unhideWhenUsed/>
    <w:rsid w:val="002363B5"/>
    <w:pPr>
      <w:tabs>
        <w:tab w:val="left" w:pos="1800"/>
        <w:tab w:val="right" w:leader="dot" w:pos="9350"/>
      </w:tabs>
      <w:spacing w:after="100"/>
      <w:ind w:left="1800" w:hanging="360"/>
    </w:pPr>
  </w:style>
  <w:style w:type="paragraph" w:styleId="Caption">
    <w:name w:val="caption"/>
    <w:basedOn w:val="Normal"/>
    <w:next w:val="Normal"/>
    <w:qFormat/>
    <w:rsid w:val="005F67B6"/>
    <w:pPr>
      <w:spacing w:after="480"/>
      <w:jc w:val="center"/>
    </w:pPr>
    <w:rPr>
      <w:rFonts w:ascii="Times New Roman Bold" w:eastAsia="Times New Roman" w:hAnsi="Times New Roman Bold"/>
      <w:b/>
      <w:bCs/>
      <w:caps/>
      <w:szCs w:val="20"/>
    </w:rPr>
  </w:style>
  <w:style w:type="paragraph" w:styleId="BodyText">
    <w:name w:val="Body Text"/>
    <w:basedOn w:val="Normal"/>
    <w:link w:val="BodyTextChar"/>
    <w:uiPriority w:val="99"/>
    <w:unhideWhenUsed/>
    <w:rsid w:val="005F67B6"/>
    <w:pPr>
      <w:spacing w:line="480" w:lineRule="auto"/>
      <w:ind w:left="720" w:hanging="720"/>
    </w:pPr>
    <w:rPr>
      <w:rFonts w:cstheme="minorBidi"/>
      <w:bCs/>
      <w:szCs w:val="22"/>
    </w:rPr>
  </w:style>
  <w:style w:type="character" w:customStyle="1" w:styleId="BodyTextChar">
    <w:name w:val="Body Text Char"/>
    <w:basedOn w:val="DefaultParagraphFont"/>
    <w:link w:val="BodyText"/>
    <w:uiPriority w:val="99"/>
    <w:rsid w:val="005F67B6"/>
    <w:rPr>
      <w:rFonts w:cstheme="minorBidi"/>
      <w:szCs w:val="22"/>
    </w:rPr>
  </w:style>
  <w:style w:type="table" w:styleId="TableGrid">
    <w:name w:val="Table Grid"/>
    <w:basedOn w:val="TableNormal"/>
    <w:rsid w:val="005F67B6"/>
    <w:pPr>
      <w:ind w:left="0" w:right="0"/>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F67B6"/>
    <w:rPr>
      <w:sz w:val="16"/>
      <w:szCs w:val="16"/>
    </w:rPr>
  </w:style>
  <w:style w:type="paragraph" w:styleId="CommentText">
    <w:name w:val="annotation text"/>
    <w:basedOn w:val="Normal"/>
    <w:link w:val="CommentTextChar"/>
    <w:uiPriority w:val="99"/>
    <w:unhideWhenUsed/>
    <w:rsid w:val="005F67B6"/>
    <w:rPr>
      <w:sz w:val="20"/>
      <w:szCs w:val="20"/>
    </w:rPr>
  </w:style>
  <w:style w:type="character" w:customStyle="1" w:styleId="CommentTextChar">
    <w:name w:val="Comment Text Char"/>
    <w:basedOn w:val="DefaultParagraphFont"/>
    <w:link w:val="CommentText"/>
    <w:uiPriority w:val="99"/>
    <w:rsid w:val="005F67B6"/>
    <w:rPr>
      <w:bCs w:val="0"/>
      <w:sz w:val="20"/>
      <w:szCs w:val="20"/>
    </w:rPr>
  </w:style>
  <w:style w:type="paragraph" w:styleId="ListParagraph">
    <w:name w:val="List Paragraph"/>
    <w:basedOn w:val="Normal"/>
    <w:uiPriority w:val="34"/>
    <w:qFormat/>
    <w:rsid w:val="005F67B6"/>
    <w:pPr>
      <w:ind w:left="720"/>
      <w:contextualSpacing/>
    </w:pPr>
  </w:style>
  <w:style w:type="paragraph" w:styleId="BalloonText">
    <w:name w:val="Balloon Text"/>
    <w:basedOn w:val="Normal"/>
    <w:link w:val="BalloonTextChar"/>
    <w:uiPriority w:val="99"/>
    <w:semiHidden/>
    <w:unhideWhenUsed/>
    <w:rsid w:val="005F67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67B6"/>
    <w:rPr>
      <w:rFonts w:ascii="Segoe UI" w:hAnsi="Segoe UI" w:cs="Segoe UI"/>
      <w:bCs w:val="0"/>
      <w:sz w:val="18"/>
      <w:szCs w:val="18"/>
    </w:rPr>
  </w:style>
  <w:style w:type="paragraph" w:styleId="FootnoteText">
    <w:name w:val="footnote text"/>
    <w:aliases w:val="ALTS FOOTNOTE,fn,Footnote Text 2,Footnote text,FOOTNOTE,ALTS FOOTNOTE Char,fn Char,Footnote Text Char1 Char,Footnote Text Char Char Char,ALTS FOOTNOTE Char Char Char,fn Char Char Char,Footnote Text Char2 Char Char Char"/>
    <w:basedOn w:val="Normal"/>
    <w:link w:val="FootnoteTextChar"/>
    <w:uiPriority w:val="99"/>
    <w:unhideWhenUsed/>
    <w:qFormat/>
    <w:rsid w:val="00382751"/>
    <w:rPr>
      <w:sz w:val="20"/>
      <w:szCs w:val="20"/>
    </w:rPr>
  </w:style>
  <w:style w:type="character" w:customStyle="1" w:styleId="FootnoteTextChar">
    <w:name w:val="Footnote Text Char"/>
    <w:aliases w:val="ALTS FOOTNOTE Char1,fn Char1,Footnote Text 2 Char,Footnote text Char,FOOTNOTE Char,ALTS FOOTNOTE Char Char,fn Char Char,Footnote Text Char1 Char Char,Footnote Text Char Char Char Char,ALTS FOOTNOTE Char Char Char Char"/>
    <w:basedOn w:val="DefaultParagraphFont"/>
    <w:link w:val="FootnoteText"/>
    <w:uiPriority w:val="99"/>
    <w:rsid w:val="00382751"/>
    <w:rPr>
      <w:bCs w:val="0"/>
      <w:sz w:val="20"/>
      <w:szCs w:val="20"/>
    </w:rPr>
  </w:style>
  <w:style w:type="character" w:styleId="FootnoteReference">
    <w:name w:val="footnote reference"/>
    <w:aliases w:val="fr,o,Style 3,FR,(NECG) Footnote Reference,Appel note de bas de p,Style 21,Style 12,Style 24,Style 17,Style 11,Style 28,Style 8,Style 15,Style 9,o1,fr1,o2,fr2,o3,fr3,Style 18,Style 20,Style 7,Style 19,Style 16,Style 30,HLR Footnote"/>
    <w:basedOn w:val="DefaultParagraphFont"/>
    <w:uiPriority w:val="99"/>
    <w:unhideWhenUsed/>
    <w:rsid w:val="00382751"/>
    <w:rPr>
      <w:vertAlign w:val="superscript"/>
    </w:rPr>
  </w:style>
  <w:style w:type="paragraph" w:styleId="CommentSubject">
    <w:name w:val="annotation subject"/>
    <w:basedOn w:val="CommentText"/>
    <w:next w:val="CommentText"/>
    <w:link w:val="CommentSubjectChar"/>
    <w:uiPriority w:val="99"/>
    <w:semiHidden/>
    <w:unhideWhenUsed/>
    <w:rsid w:val="007133B8"/>
    <w:rPr>
      <w:b/>
      <w:bCs/>
    </w:rPr>
  </w:style>
  <w:style w:type="character" w:customStyle="1" w:styleId="CommentSubjectChar">
    <w:name w:val="Comment Subject Char"/>
    <w:basedOn w:val="CommentTextChar"/>
    <w:link w:val="CommentSubject"/>
    <w:uiPriority w:val="99"/>
    <w:semiHidden/>
    <w:rsid w:val="007133B8"/>
    <w:rPr>
      <w:b/>
      <w:bCs/>
      <w:sz w:val="20"/>
      <w:szCs w:val="20"/>
    </w:rPr>
  </w:style>
  <w:style w:type="character" w:styleId="LineNumber">
    <w:name w:val="line number"/>
    <w:basedOn w:val="DefaultParagraphFont"/>
    <w:uiPriority w:val="99"/>
    <w:semiHidden/>
    <w:unhideWhenUsed/>
    <w:rsid w:val="008F70E0"/>
  </w:style>
  <w:style w:type="character" w:styleId="Hyperlink">
    <w:name w:val="Hyperlink"/>
    <w:basedOn w:val="DefaultParagraphFont"/>
    <w:uiPriority w:val="99"/>
    <w:unhideWhenUsed/>
    <w:rsid w:val="008F70E0"/>
    <w:rPr>
      <w:color w:val="0000FF" w:themeColor="hyperlink"/>
      <w:u w:val="single"/>
    </w:rPr>
  </w:style>
  <w:style w:type="character" w:styleId="FollowedHyperlink">
    <w:name w:val="FollowedHyperlink"/>
    <w:basedOn w:val="DefaultParagraphFont"/>
    <w:uiPriority w:val="99"/>
    <w:semiHidden/>
    <w:unhideWhenUsed/>
    <w:rsid w:val="00A8369C"/>
    <w:rPr>
      <w:color w:val="800080" w:themeColor="followedHyperlink"/>
      <w:u w:val="single"/>
    </w:rPr>
  </w:style>
  <w:style w:type="paragraph" w:styleId="Revision">
    <w:name w:val="Revision"/>
    <w:hidden/>
    <w:uiPriority w:val="99"/>
    <w:semiHidden/>
    <w:rsid w:val="003228D6"/>
    <w:pPr>
      <w:ind w:left="0" w:right="0"/>
    </w:pPr>
    <w:rPr>
      <w:bCs w:val="0"/>
    </w:rPr>
  </w:style>
  <w:style w:type="paragraph" w:styleId="NoSpacing">
    <w:name w:val="No Spacing"/>
    <w:uiPriority w:val="1"/>
    <w:qFormat/>
    <w:rsid w:val="005C0857"/>
    <w:pPr>
      <w:ind w:left="0" w:right="0"/>
    </w:pPr>
    <w:rPr>
      <w:rFonts w:asciiTheme="minorHAnsi" w:hAnsiTheme="minorHAnsi" w:cstheme="minorBidi"/>
      <w:bCs w:val="0"/>
      <w:sz w:val="22"/>
      <w:szCs w:val="22"/>
    </w:rPr>
  </w:style>
  <w:style w:type="character" w:styleId="UnresolvedMention">
    <w:name w:val="Unresolved Mention"/>
    <w:basedOn w:val="DefaultParagraphFont"/>
    <w:uiPriority w:val="99"/>
    <w:unhideWhenUsed/>
    <w:rsid w:val="00816701"/>
    <w:rPr>
      <w:color w:val="605E5C"/>
      <w:shd w:val="clear" w:color="auto" w:fill="E1DFDD"/>
    </w:rPr>
  </w:style>
  <w:style w:type="character" w:styleId="Mention">
    <w:name w:val="Mention"/>
    <w:basedOn w:val="DefaultParagraphFont"/>
    <w:uiPriority w:val="99"/>
    <w:unhideWhenUsed/>
    <w:rsid w:val="00816701"/>
    <w:rPr>
      <w:color w:val="2B579A"/>
      <w:shd w:val="clear" w:color="auto" w:fill="E1DFDD"/>
    </w:rPr>
  </w:style>
  <w:style w:type="paragraph" w:customStyle="1" w:styleId="paragraph">
    <w:name w:val="paragraph"/>
    <w:basedOn w:val="Normal"/>
    <w:rsid w:val="00C63AEB"/>
    <w:pPr>
      <w:spacing w:before="100" w:beforeAutospacing="1" w:after="100" w:afterAutospacing="1"/>
      <w:jc w:val="left"/>
    </w:pPr>
    <w:rPr>
      <w:rFonts w:ascii="Calibri" w:hAnsi="Calibri" w:cs="Calibri"/>
      <w:sz w:val="22"/>
      <w:szCs w:val="22"/>
    </w:rPr>
  </w:style>
  <w:style w:type="character" w:customStyle="1" w:styleId="normaltextrun">
    <w:name w:val="normaltextrun"/>
    <w:basedOn w:val="DefaultParagraphFont"/>
    <w:rsid w:val="00C63AEB"/>
  </w:style>
  <w:style w:type="character" w:customStyle="1" w:styleId="tabchar">
    <w:name w:val="tabchar"/>
    <w:basedOn w:val="DefaultParagraphFont"/>
    <w:rsid w:val="00C63AEB"/>
  </w:style>
  <w:style w:type="character" w:customStyle="1" w:styleId="eop">
    <w:name w:val="eop"/>
    <w:basedOn w:val="DefaultParagraphFont"/>
    <w:rsid w:val="00C63AEB"/>
  </w:style>
  <w:style w:type="character" w:customStyle="1" w:styleId="superscript">
    <w:name w:val="superscript"/>
    <w:basedOn w:val="DefaultParagraphFont"/>
    <w:rsid w:val="00C42996"/>
  </w:style>
  <w:style w:type="paragraph" w:styleId="NormalWeb">
    <w:name w:val="Normal (Web)"/>
    <w:basedOn w:val="Normal"/>
    <w:uiPriority w:val="99"/>
    <w:semiHidden/>
    <w:unhideWhenUsed/>
    <w:rsid w:val="00CE5633"/>
    <w:pPr>
      <w:spacing w:before="100" w:beforeAutospacing="1" w:after="100" w:afterAutospacing="1"/>
      <w:jc w:val="left"/>
    </w:pPr>
    <w:rPr>
      <w:rFonts w:eastAsia="Times New Roman"/>
    </w:rPr>
  </w:style>
  <w:style w:type="paragraph" w:styleId="TOCHeading">
    <w:name w:val="TOC Heading"/>
    <w:basedOn w:val="Heading1"/>
    <w:next w:val="Normal"/>
    <w:uiPriority w:val="39"/>
    <w:unhideWhenUsed/>
    <w:qFormat/>
    <w:rsid w:val="003444B1"/>
    <w:pPr>
      <w:spacing w:before="240" w:line="259" w:lineRule="auto"/>
      <w:jc w:val="left"/>
      <w:outlineLvl w:val="9"/>
    </w:pPr>
    <w:rPr>
      <w:b w:val="0"/>
      <w:bCs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449">
      <w:bodyDiv w:val="1"/>
      <w:marLeft w:val="0"/>
      <w:marRight w:val="0"/>
      <w:marTop w:val="0"/>
      <w:marBottom w:val="0"/>
      <w:divBdr>
        <w:top w:val="none" w:sz="0" w:space="0" w:color="auto"/>
        <w:left w:val="none" w:sz="0" w:space="0" w:color="auto"/>
        <w:bottom w:val="none" w:sz="0" w:space="0" w:color="auto"/>
        <w:right w:val="none" w:sz="0" w:space="0" w:color="auto"/>
      </w:divBdr>
    </w:div>
    <w:div w:id="105128045">
      <w:bodyDiv w:val="1"/>
      <w:marLeft w:val="0"/>
      <w:marRight w:val="0"/>
      <w:marTop w:val="0"/>
      <w:marBottom w:val="0"/>
      <w:divBdr>
        <w:top w:val="none" w:sz="0" w:space="0" w:color="auto"/>
        <w:left w:val="none" w:sz="0" w:space="0" w:color="auto"/>
        <w:bottom w:val="none" w:sz="0" w:space="0" w:color="auto"/>
        <w:right w:val="none" w:sz="0" w:space="0" w:color="auto"/>
      </w:divBdr>
    </w:div>
    <w:div w:id="150953760">
      <w:bodyDiv w:val="1"/>
      <w:marLeft w:val="0"/>
      <w:marRight w:val="0"/>
      <w:marTop w:val="0"/>
      <w:marBottom w:val="0"/>
      <w:divBdr>
        <w:top w:val="none" w:sz="0" w:space="0" w:color="auto"/>
        <w:left w:val="none" w:sz="0" w:space="0" w:color="auto"/>
        <w:bottom w:val="none" w:sz="0" w:space="0" w:color="auto"/>
        <w:right w:val="none" w:sz="0" w:space="0" w:color="auto"/>
      </w:divBdr>
    </w:div>
    <w:div w:id="306205577">
      <w:bodyDiv w:val="1"/>
      <w:marLeft w:val="0"/>
      <w:marRight w:val="0"/>
      <w:marTop w:val="0"/>
      <w:marBottom w:val="0"/>
      <w:divBdr>
        <w:top w:val="none" w:sz="0" w:space="0" w:color="auto"/>
        <w:left w:val="none" w:sz="0" w:space="0" w:color="auto"/>
        <w:bottom w:val="none" w:sz="0" w:space="0" w:color="auto"/>
        <w:right w:val="none" w:sz="0" w:space="0" w:color="auto"/>
      </w:divBdr>
    </w:div>
    <w:div w:id="347218132">
      <w:bodyDiv w:val="1"/>
      <w:marLeft w:val="0"/>
      <w:marRight w:val="0"/>
      <w:marTop w:val="0"/>
      <w:marBottom w:val="0"/>
      <w:divBdr>
        <w:top w:val="none" w:sz="0" w:space="0" w:color="auto"/>
        <w:left w:val="none" w:sz="0" w:space="0" w:color="auto"/>
        <w:bottom w:val="none" w:sz="0" w:space="0" w:color="auto"/>
        <w:right w:val="none" w:sz="0" w:space="0" w:color="auto"/>
      </w:divBdr>
    </w:div>
    <w:div w:id="452408026">
      <w:bodyDiv w:val="1"/>
      <w:marLeft w:val="0"/>
      <w:marRight w:val="0"/>
      <w:marTop w:val="0"/>
      <w:marBottom w:val="0"/>
      <w:divBdr>
        <w:top w:val="none" w:sz="0" w:space="0" w:color="auto"/>
        <w:left w:val="none" w:sz="0" w:space="0" w:color="auto"/>
        <w:bottom w:val="none" w:sz="0" w:space="0" w:color="auto"/>
        <w:right w:val="none" w:sz="0" w:space="0" w:color="auto"/>
      </w:divBdr>
    </w:div>
    <w:div w:id="453908218">
      <w:bodyDiv w:val="1"/>
      <w:marLeft w:val="0"/>
      <w:marRight w:val="0"/>
      <w:marTop w:val="0"/>
      <w:marBottom w:val="0"/>
      <w:divBdr>
        <w:top w:val="none" w:sz="0" w:space="0" w:color="auto"/>
        <w:left w:val="none" w:sz="0" w:space="0" w:color="auto"/>
        <w:bottom w:val="none" w:sz="0" w:space="0" w:color="auto"/>
        <w:right w:val="none" w:sz="0" w:space="0" w:color="auto"/>
      </w:divBdr>
    </w:div>
    <w:div w:id="455486751">
      <w:bodyDiv w:val="1"/>
      <w:marLeft w:val="0"/>
      <w:marRight w:val="0"/>
      <w:marTop w:val="0"/>
      <w:marBottom w:val="0"/>
      <w:divBdr>
        <w:top w:val="none" w:sz="0" w:space="0" w:color="auto"/>
        <w:left w:val="none" w:sz="0" w:space="0" w:color="auto"/>
        <w:bottom w:val="none" w:sz="0" w:space="0" w:color="auto"/>
        <w:right w:val="none" w:sz="0" w:space="0" w:color="auto"/>
      </w:divBdr>
    </w:div>
    <w:div w:id="617100522">
      <w:bodyDiv w:val="1"/>
      <w:marLeft w:val="0"/>
      <w:marRight w:val="0"/>
      <w:marTop w:val="0"/>
      <w:marBottom w:val="0"/>
      <w:divBdr>
        <w:top w:val="none" w:sz="0" w:space="0" w:color="auto"/>
        <w:left w:val="none" w:sz="0" w:space="0" w:color="auto"/>
        <w:bottom w:val="none" w:sz="0" w:space="0" w:color="auto"/>
        <w:right w:val="none" w:sz="0" w:space="0" w:color="auto"/>
      </w:divBdr>
    </w:div>
    <w:div w:id="654383127">
      <w:bodyDiv w:val="1"/>
      <w:marLeft w:val="0"/>
      <w:marRight w:val="0"/>
      <w:marTop w:val="0"/>
      <w:marBottom w:val="0"/>
      <w:divBdr>
        <w:top w:val="none" w:sz="0" w:space="0" w:color="auto"/>
        <w:left w:val="none" w:sz="0" w:space="0" w:color="auto"/>
        <w:bottom w:val="none" w:sz="0" w:space="0" w:color="auto"/>
        <w:right w:val="none" w:sz="0" w:space="0" w:color="auto"/>
      </w:divBdr>
    </w:div>
    <w:div w:id="799541201">
      <w:bodyDiv w:val="1"/>
      <w:marLeft w:val="0"/>
      <w:marRight w:val="0"/>
      <w:marTop w:val="0"/>
      <w:marBottom w:val="0"/>
      <w:divBdr>
        <w:top w:val="none" w:sz="0" w:space="0" w:color="auto"/>
        <w:left w:val="none" w:sz="0" w:space="0" w:color="auto"/>
        <w:bottom w:val="none" w:sz="0" w:space="0" w:color="auto"/>
        <w:right w:val="none" w:sz="0" w:space="0" w:color="auto"/>
      </w:divBdr>
    </w:div>
    <w:div w:id="903681304">
      <w:bodyDiv w:val="1"/>
      <w:marLeft w:val="0"/>
      <w:marRight w:val="0"/>
      <w:marTop w:val="0"/>
      <w:marBottom w:val="0"/>
      <w:divBdr>
        <w:top w:val="none" w:sz="0" w:space="0" w:color="auto"/>
        <w:left w:val="none" w:sz="0" w:space="0" w:color="auto"/>
        <w:bottom w:val="none" w:sz="0" w:space="0" w:color="auto"/>
        <w:right w:val="none" w:sz="0" w:space="0" w:color="auto"/>
      </w:divBdr>
    </w:div>
    <w:div w:id="968783750">
      <w:bodyDiv w:val="1"/>
      <w:marLeft w:val="0"/>
      <w:marRight w:val="0"/>
      <w:marTop w:val="0"/>
      <w:marBottom w:val="0"/>
      <w:divBdr>
        <w:top w:val="none" w:sz="0" w:space="0" w:color="auto"/>
        <w:left w:val="none" w:sz="0" w:space="0" w:color="auto"/>
        <w:bottom w:val="none" w:sz="0" w:space="0" w:color="auto"/>
        <w:right w:val="none" w:sz="0" w:space="0" w:color="auto"/>
      </w:divBdr>
    </w:div>
    <w:div w:id="996416052">
      <w:bodyDiv w:val="1"/>
      <w:marLeft w:val="0"/>
      <w:marRight w:val="0"/>
      <w:marTop w:val="0"/>
      <w:marBottom w:val="0"/>
      <w:divBdr>
        <w:top w:val="none" w:sz="0" w:space="0" w:color="auto"/>
        <w:left w:val="none" w:sz="0" w:space="0" w:color="auto"/>
        <w:bottom w:val="none" w:sz="0" w:space="0" w:color="auto"/>
        <w:right w:val="none" w:sz="0" w:space="0" w:color="auto"/>
      </w:divBdr>
    </w:div>
    <w:div w:id="996958259">
      <w:bodyDiv w:val="1"/>
      <w:marLeft w:val="0"/>
      <w:marRight w:val="0"/>
      <w:marTop w:val="0"/>
      <w:marBottom w:val="0"/>
      <w:divBdr>
        <w:top w:val="none" w:sz="0" w:space="0" w:color="auto"/>
        <w:left w:val="none" w:sz="0" w:space="0" w:color="auto"/>
        <w:bottom w:val="none" w:sz="0" w:space="0" w:color="auto"/>
        <w:right w:val="none" w:sz="0" w:space="0" w:color="auto"/>
      </w:divBdr>
      <w:divsChild>
        <w:div w:id="67966692">
          <w:marLeft w:val="0"/>
          <w:marRight w:val="0"/>
          <w:marTop w:val="0"/>
          <w:marBottom w:val="0"/>
          <w:divBdr>
            <w:top w:val="none" w:sz="0" w:space="0" w:color="auto"/>
            <w:left w:val="none" w:sz="0" w:space="0" w:color="auto"/>
            <w:bottom w:val="none" w:sz="0" w:space="0" w:color="auto"/>
            <w:right w:val="none" w:sz="0" w:space="0" w:color="auto"/>
          </w:divBdr>
          <w:divsChild>
            <w:div w:id="1168445898">
              <w:marLeft w:val="0"/>
              <w:marRight w:val="0"/>
              <w:marTop w:val="0"/>
              <w:marBottom w:val="0"/>
              <w:divBdr>
                <w:top w:val="none" w:sz="0" w:space="0" w:color="auto"/>
                <w:left w:val="none" w:sz="0" w:space="0" w:color="auto"/>
                <w:bottom w:val="none" w:sz="0" w:space="0" w:color="auto"/>
                <w:right w:val="none" w:sz="0" w:space="0" w:color="auto"/>
              </w:divBdr>
            </w:div>
          </w:divsChild>
        </w:div>
        <w:div w:id="112137976">
          <w:marLeft w:val="0"/>
          <w:marRight w:val="0"/>
          <w:marTop w:val="0"/>
          <w:marBottom w:val="0"/>
          <w:divBdr>
            <w:top w:val="none" w:sz="0" w:space="0" w:color="auto"/>
            <w:left w:val="none" w:sz="0" w:space="0" w:color="auto"/>
            <w:bottom w:val="none" w:sz="0" w:space="0" w:color="auto"/>
            <w:right w:val="none" w:sz="0" w:space="0" w:color="auto"/>
          </w:divBdr>
          <w:divsChild>
            <w:div w:id="802621637">
              <w:marLeft w:val="0"/>
              <w:marRight w:val="0"/>
              <w:marTop w:val="0"/>
              <w:marBottom w:val="0"/>
              <w:divBdr>
                <w:top w:val="none" w:sz="0" w:space="0" w:color="auto"/>
                <w:left w:val="none" w:sz="0" w:space="0" w:color="auto"/>
                <w:bottom w:val="none" w:sz="0" w:space="0" w:color="auto"/>
                <w:right w:val="none" w:sz="0" w:space="0" w:color="auto"/>
              </w:divBdr>
            </w:div>
          </w:divsChild>
        </w:div>
        <w:div w:id="388460917">
          <w:marLeft w:val="0"/>
          <w:marRight w:val="0"/>
          <w:marTop w:val="0"/>
          <w:marBottom w:val="0"/>
          <w:divBdr>
            <w:top w:val="none" w:sz="0" w:space="0" w:color="auto"/>
            <w:left w:val="none" w:sz="0" w:space="0" w:color="auto"/>
            <w:bottom w:val="none" w:sz="0" w:space="0" w:color="auto"/>
            <w:right w:val="none" w:sz="0" w:space="0" w:color="auto"/>
          </w:divBdr>
          <w:divsChild>
            <w:div w:id="1553929775">
              <w:marLeft w:val="0"/>
              <w:marRight w:val="0"/>
              <w:marTop w:val="0"/>
              <w:marBottom w:val="0"/>
              <w:divBdr>
                <w:top w:val="none" w:sz="0" w:space="0" w:color="auto"/>
                <w:left w:val="none" w:sz="0" w:space="0" w:color="auto"/>
                <w:bottom w:val="none" w:sz="0" w:space="0" w:color="auto"/>
                <w:right w:val="none" w:sz="0" w:space="0" w:color="auto"/>
              </w:divBdr>
            </w:div>
          </w:divsChild>
        </w:div>
        <w:div w:id="443354628">
          <w:marLeft w:val="0"/>
          <w:marRight w:val="0"/>
          <w:marTop w:val="0"/>
          <w:marBottom w:val="0"/>
          <w:divBdr>
            <w:top w:val="none" w:sz="0" w:space="0" w:color="auto"/>
            <w:left w:val="none" w:sz="0" w:space="0" w:color="auto"/>
            <w:bottom w:val="none" w:sz="0" w:space="0" w:color="auto"/>
            <w:right w:val="none" w:sz="0" w:space="0" w:color="auto"/>
          </w:divBdr>
          <w:divsChild>
            <w:div w:id="1149829808">
              <w:marLeft w:val="0"/>
              <w:marRight w:val="0"/>
              <w:marTop w:val="0"/>
              <w:marBottom w:val="0"/>
              <w:divBdr>
                <w:top w:val="none" w:sz="0" w:space="0" w:color="auto"/>
                <w:left w:val="none" w:sz="0" w:space="0" w:color="auto"/>
                <w:bottom w:val="none" w:sz="0" w:space="0" w:color="auto"/>
                <w:right w:val="none" w:sz="0" w:space="0" w:color="auto"/>
              </w:divBdr>
            </w:div>
          </w:divsChild>
        </w:div>
        <w:div w:id="682174532">
          <w:marLeft w:val="0"/>
          <w:marRight w:val="0"/>
          <w:marTop w:val="0"/>
          <w:marBottom w:val="0"/>
          <w:divBdr>
            <w:top w:val="none" w:sz="0" w:space="0" w:color="auto"/>
            <w:left w:val="none" w:sz="0" w:space="0" w:color="auto"/>
            <w:bottom w:val="none" w:sz="0" w:space="0" w:color="auto"/>
            <w:right w:val="none" w:sz="0" w:space="0" w:color="auto"/>
          </w:divBdr>
          <w:divsChild>
            <w:div w:id="1014261244">
              <w:marLeft w:val="0"/>
              <w:marRight w:val="0"/>
              <w:marTop w:val="0"/>
              <w:marBottom w:val="0"/>
              <w:divBdr>
                <w:top w:val="none" w:sz="0" w:space="0" w:color="auto"/>
                <w:left w:val="none" w:sz="0" w:space="0" w:color="auto"/>
                <w:bottom w:val="none" w:sz="0" w:space="0" w:color="auto"/>
                <w:right w:val="none" w:sz="0" w:space="0" w:color="auto"/>
              </w:divBdr>
            </w:div>
          </w:divsChild>
        </w:div>
        <w:div w:id="763577306">
          <w:marLeft w:val="0"/>
          <w:marRight w:val="0"/>
          <w:marTop w:val="0"/>
          <w:marBottom w:val="0"/>
          <w:divBdr>
            <w:top w:val="none" w:sz="0" w:space="0" w:color="auto"/>
            <w:left w:val="none" w:sz="0" w:space="0" w:color="auto"/>
            <w:bottom w:val="none" w:sz="0" w:space="0" w:color="auto"/>
            <w:right w:val="none" w:sz="0" w:space="0" w:color="auto"/>
          </w:divBdr>
          <w:divsChild>
            <w:div w:id="1567689063">
              <w:marLeft w:val="0"/>
              <w:marRight w:val="0"/>
              <w:marTop w:val="0"/>
              <w:marBottom w:val="0"/>
              <w:divBdr>
                <w:top w:val="none" w:sz="0" w:space="0" w:color="auto"/>
                <w:left w:val="none" w:sz="0" w:space="0" w:color="auto"/>
                <w:bottom w:val="none" w:sz="0" w:space="0" w:color="auto"/>
                <w:right w:val="none" w:sz="0" w:space="0" w:color="auto"/>
              </w:divBdr>
            </w:div>
          </w:divsChild>
        </w:div>
        <w:div w:id="796525766">
          <w:marLeft w:val="0"/>
          <w:marRight w:val="0"/>
          <w:marTop w:val="0"/>
          <w:marBottom w:val="0"/>
          <w:divBdr>
            <w:top w:val="none" w:sz="0" w:space="0" w:color="auto"/>
            <w:left w:val="none" w:sz="0" w:space="0" w:color="auto"/>
            <w:bottom w:val="none" w:sz="0" w:space="0" w:color="auto"/>
            <w:right w:val="none" w:sz="0" w:space="0" w:color="auto"/>
          </w:divBdr>
          <w:divsChild>
            <w:div w:id="109203296">
              <w:marLeft w:val="0"/>
              <w:marRight w:val="0"/>
              <w:marTop w:val="0"/>
              <w:marBottom w:val="0"/>
              <w:divBdr>
                <w:top w:val="none" w:sz="0" w:space="0" w:color="auto"/>
                <w:left w:val="none" w:sz="0" w:space="0" w:color="auto"/>
                <w:bottom w:val="none" w:sz="0" w:space="0" w:color="auto"/>
                <w:right w:val="none" w:sz="0" w:space="0" w:color="auto"/>
              </w:divBdr>
            </w:div>
          </w:divsChild>
        </w:div>
        <w:div w:id="837576399">
          <w:marLeft w:val="0"/>
          <w:marRight w:val="0"/>
          <w:marTop w:val="0"/>
          <w:marBottom w:val="0"/>
          <w:divBdr>
            <w:top w:val="none" w:sz="0" w:space="0" w:color="auto"/>
            <w:left w:val="none" w:sz="0" w:space="0" w:color="auto"/>
            <w:bottom w:val="none" w:sz="0" w:space="0" w:color="auto"/>
            <w:right w:val="none" w:sz="0" w:space="0" w:color="auto"/>
          </w:divBdr>
          <w:divsChild>
            <w:div w:id="652300832">
              <w:marLeft w:val="0"/>
              <w:marRight w:val="0"/>
              <w:marTop w:val="0"/>
              <w:marBottom w:val="0"/>
              <w:divBdr>
                <w:top w:val="none" w:sz="0" w:space="0" w:color="auto"/>
                <w:left w:val="none" w:sz="0" w:space="0" w:color="auto"/>
                <w:bottom w:val="none" w:sz="0" w:space="0" w:color="auto"/>
                <w:right w:val="none" w:sz="0" w:space="0" w:color="auto"/>
              </w:divBdr>
            </w:div>
          </w:divsChild>
        </w:div>
        <w:div w:id="1059743687">
          <w:marLeft w:val="0"/>
          <w:marRight w:val="0"/>
          <w:marTop w:val="0"/>
          <w:marBottom w:val="0"/>
          <w:divBdr>
            <w:top w:val="none" w:sz="0" w:space="0" w:color="auto"/>
            <w:left w:val="none" w:sz="0" w:space="0" w:color="auto"/>
            <w:bottom w:val="none" w:sz="0" w:space="0" w:color="auto"/>
            <w:right w:val="none" w:sz="0" w:space="0" w:color="auto"/>
          </w:divBdr>
          <w:divsChild>
            <w:div w:id="1170558786">
              <w:marLeft w:val="0"/>
              <w:marRight w:val="0"/>
              <w:marTop w:val="0"/>
              <w:marBottom w:val="0"/>
              <w:divBdr>
                <w:top w:val="none" w:sz="0" w:space="0" w:color="auto"/>
                <w:left w:val="none" w:sz="0" w:space="0" w:color="auto"/>
                <w:bottom w:val="none" w:sz="0" w:space="0" w:color="auto"/>
                <w:right w:val="none" w:sz="0" w:space="0" w:color="auto"/>
              </w:divBdr>
            </w:div>
          </w:divsChild>
        </w:div>
        <w:div w:id="1079408283">
          <w:marLeft w:val="0"/>
          <w:marRight w:val="0"/>
          <w:marTop w:val="0"/>
          <w:marBottom w:val="0"/>
          <w:divBdr>
            <w:top w:val="none" w:sz="0" w:space="0" w:color="auto"/>
            <w:left w:val="none" w:sz="0" w:space="0" w:color="auto"/>
            <w:bottom w:val="none" w:sz="0" w:space="0" w:color="auto"/>
            <w:right w:val="none" w:sz="0" w:space="0" w:color="auto"/>
          </w:divBdr>
          <w:divsChild>
            <w:div w:id="1012757430">
              <w:marLeft w:val="0"/>
              <w:marRight w:val="0"/>
              <w:marTop w:val="0"/>
              <w:marBottom w:val="0"/>
              <w:divBdr>
                <w:top w:val="none" w:sz="0" w:space="0" w:color="auto"/>
                <w:left w:val="none" w:sz="0" w:space="0" w:color="auto"/>
                <w:bottom w:val="none" w:sz="0" w:space="0" w:color="auto"/>
                <w:right w:val="none" w:sz="0" w:space="0" w:color="auto"/>
              </w:divBdr>
            </w:div>
          </w:divsChild>
        </w:div>
        <w:div w:id="1102066295">
          <w:marLeft w:val="0"/>
          <w:marRight w:val="0"/>
          <w:marTop w:val="0"/>
          <w:marBottom w:val="0"/>
          <w:divBdr>
            <w:top w:val="none" w:sz="0" w:space="0" w:color="auto"/>
            <w:left w:val="none" w:sz="0" w:space="0" w:color="auto"/>
            <w:bottom w:val="none" w:sz="0" w:space="0" w:color="auto"/>
            <w:right w:val="none" w:sz="0" w:space="0" w:color="auto"/>
          </w:divBdr>
          <w:divsChild>
            <w:div w:id="464540820">
              <w:marLeft w:val="0"/>
              <w:marRight w:val="0"/>
              <w:marTop w:val="0"/>
              <w:marBottom w:val="0"/>
              <w:divBdr>
                <w:top w:val="none" w:sz="0" w:space="0" w:color="auto"/>
                <w:left w:val="none" w:sz="0" w:space="0" w:color="auto"/>
                <w:bottom w:val="none" w:sz="0" w:space="0" w:color="auto"/>
                <w:right w:val="none" w:sz="0" w:space="0" w:color="auto"/>
              </w:divBdr>
            </w:div>
          </w:divsChild>
        </w:div>
        <w:div w:id="1218739170">
          <w:marLeft w:val="0"/>
          <w:marRight w:val="0"/>
          <w:marTop w:val="0"/>
          <w:marBottom w:val="0"/>
          <w:divBdr>
            <w:top w:val="none" w:sz="0" w:space="0" w:color="auto"/>
            <w:left w:val="none" w:sz="0" w:space="0" w:color="auto"/>
            <w:bottom w:val="none" w:sz="0" w:space="0" w:color="auto"/>
            <w:right w:val="none" w:sz="0" w:space="0" w:color="auto"/>
          </w:divBdr>
          <w:divsChild>
            <w:div w:id="1842043632">
              <w:marLeft w:val="0"/>
              <w:marRight w:val="0"/>
              <w:marTop w:val="0"/>
              <w:marBottom w:val="0"/>
              <w:divBdr>
                <w:top w:val="none" w:sz="0" w:space="0" w:color="auto"/>
                <w:left w:val="none" w:sz="0" w:space="0" w:color="auto"/>
                <w:bottom w:val="none" w:sz="0" w:space="0" w:color="auto"/>
                <w:right w:val="none" w:sz="0" w:space="0" w:color="auto"/>
              </w:divBdr>
            </w:div>
          </w:divsChild>
        </w:div>
        <w:div w:id="1222256087">
          <w:marLeft w:val="0"/>
          <w:marRight w:val="0"/>
          <w:marTop w:val="0"/>
          <w:marBottom w:val="0"/>
          <w:divBdr>
            <w:top w:val="none" w:sz="0" w:space="0" w:color="auto"/>
            <w:left w:val="none" w:sz="0" w:space="0" w:color="auto"/>
            <w:bottom w:val="none" w:sz="0" w:space="0" w:color="auto"/>
            <w:right w:val="none" w:sz="0" w:space="0" w:color="auto"/>
          </w:divBdr>
          <w:divsChild>
            <w:div w:id="1141074059">
              <w:marLeft w:val="0"/>
              <w:marRight w:val="0"/>
              <w:marTop w:val="0"/>
              <w:marBottom w:val="0"/>
              <w:divBdr>
                <w:top w:val="none" w:sz="0" w:space="0" w:color="auto"/>
                <w:left w:val="none" w:sz="0" w:space="0" w:color="auto"/>
                <w:bottom w:val="none" w:sz="0" w:space="0" w:color="auto"/>
                <w:right w:val="none" w:sz="0" w:space="0" w:color="auto"/>
              </w:divBdr>
            </w:div>
          </w:divsChild>
        </w:div>
        <w:div w:id="1327321138">
          <w:marLeft w:val="0"/>
          <w:marRight w:val="0"/>
          <w:marTop w:val="0"/>
          <w:marBottom w:val="0"/>
          <w:divBdr>
            <w:top w:val="none" w:sz="0" w:space="0" w:color="auto"/>
            <w:left w:val="none" w:sz="0" w:space="0" w:color="auto"/>
            <w:bottom w:val="none" w:sz="0" w:space="0" w:color="auto"/>
            <w:right w:val="none" w:sz="0" w:space="0" w:color="auto"/>
          </w:divBdr>
          <w:divsChild>
            <w:div w:id="1784421557">
              <w:marLeft w:val="0"/>
              <w:marRight w:val="0"/>
              <w:marTop w:val="0"/>
              <w:marBottom w:val="0"/>
              <w:divBdr>
                <w:top w:val="none" w:sz="0" w:space="0" w:color="auto"/>
                <w:left w:val="none" w:sz="0" w:space="0" w:color="auto"/>
                <w:bottom w:val="none" w:sz="0" w:space="0" w:color="auto"/>
                <w:right w:val="none" w:sz="0" w:space="0" w:color="auto"/>
              </w:divBdr>
            </w:div>
          </w:divsChild>
        </w:div>
        <w:div w:id="1347559162">
          <w:marLeft w:val="0"/>
          <w:marRight w:val="0"/>
          <w:marTop w:val="0"/>
          <w:marBottom w:val="0"/>
          <w:divBdr>
            <w:top w:val="none" w:sz="0" w:space="0" w:color="auto"/>
            <w:left w:val="none" w:sz="0" w:space="0" w:color="auto"/>
            <w:bottom w:val="none" w:sz="0" w:space="0" w:color="auto"/>
            <w:right w:val="none" w:sz="0" w:space="0" w:color="auto"/>
          </w:divBdr>
          <w:divsChild>
            <w:div w:id="1165317418">
              <w:marLeft w:val="0"/>
              <w:marRight w:val="0"/>
              <w:marTop w:val="0"/>
              <w:marBottom w:val="0"/>
              <w:divBdr>
                <w:top w:val="none" w:sz="0" w:space="0" w:color="auto"/>
                <w:left w:val="none" w:sz="0" w:space="0" w:color="auto"/>
                <w:bottom w:val="none" w:sz="0" w:space="0" w:color="auto"/>
                <w:right w:val="none" w:sz="0" w:space="0" w:color="auto"/>
              </w:divBdr>
            </w:div>
          </w:divsChild>
        </w:div>
        <w:div w:id="1466773980">
          <w:marLeft w:val="0"/>
          <w:marRight w:val="0"/>
          <w:marTop w:val="0"/>
          <w:marBottom w:val="0"/>
          <w:divBdr>
            <w:top w:val="none" w:sz="0" w:space="0" w:color="auto"/>
            <w:left w:val="none" w:sz="0" w:space="0" w:color="auto"/>
            <w:bottom w:val="none" w:sz="0" w:space="0" w:color="auto"/>
            <w:right w:val="none" w:sz="0" w:space="0" w:color="auto"/>
          </w:divBdr>
          <w:divsChild>
            <w:div w:id="1256477731">
              <w:marLeft w:val="0"/>
              <w:marRight w:val="0"/>
              <w:marTop w:val="0"/>
              <w:marBottom w:val="0"/>
              <w:divBdr>
                <w:top w:val="none" w:sz="0" w:space="0" w:color="auto"/>
                <w:left w:val="none" w:sz="0" w:space="0" w:color="auto"/>
                <w:bottom w:val="none" w:sz="0" w:space="0" w:color="auto"/>
                <w:right w:val="none" w:sz="0" w:space="0" w:color="auto"/>
              </w:divBdr>
            </w:div>
          </w:divsChild>
        </w:div>
        <w:div w:id="1505631935">
          <w:marLeft w:val="0"/>
          <w:marRight w:val="0"/>
          <w:marTop w:val="0"/>
          <w:marBottom w:val="0"/>
          <w:divBdr>
            <w:top w:val="none" w:sz="0" w:space="0" w:color="auto"/>
            <w:left w:val="none" w:sz="0" w:space="0" w:color="auto"/>
            <w:bottom w:val="none" w:sz="0" w:space="0" w:color="auto"/>
            <w:right w:val="none" w:sz="0" w:space="0" w:color="auto"/>
          </w:divBdr>
          <w:divsChild>
            <w:div w:id="959069971">
              <w:marLeft w:val="0"/>
              <w:marRight w:val="0"/>
              <w:marTop w:val="0"/>
              <w:marBottom w:val="0"/>
              <w:divBdr>
                <w:top w:val="none" w:sz="0" w:space="0" w:color="auto"/>
                <w:left w:val="none" w:sz="0" w:space="0" w:color="auto"/>
                <w:bottom w:val="none" w:sz="0" w:space="0" w:color="auto"/>
                <w:right w:val="none" w:sz="0" w:space="0" w:color="auto"/>
              </w:divBdr>
            </w:div>
          </w:divsChild>
        </w:div>
        <w:div w:id="1610045181">
          <w:marLeft w:val="0"/>
          <w:marRight w:val="0"/>
          <w:marTop w:val="0"/>
          <w:marBottom w:val="0"/>
          <w:divBdr>
            <w:top w:val="none" w:sz="0" w:space="0" w:color="auto"/>
            <w:left w:val="none" w:sz="0" w:space="0" w:color="auto"/>
            <w:bottom w:val="none" w:sz="0" w:space="0" w:color="auto"/>
            <w:right w:val="none" w:sz="0" w:space="0" w:color="auto"/>
          </w:divBdr>
          <w:divsChild>
            <w:div w:id="789516518">
              <w:marLeft w:val="0"/>
              <w:marRight w:val="0"/>
              <w:marTop w:val="0"/>
              <w:marBottom w:val="0"/>
              <w:divBdr>
                <w:top w:val="none" w:sz="0" w:space="0" w:color="auto"/>
                <w:left w:val="none" w:sz="0" w:space="0" w:color="auto"/>
                <w:bottom w:val="none" w:sz="0" w:space="0" w:color="auto"/>
                <w:right w:val="none" w:sz="0" w:space="0" w:color="auto"/>
              </w:divBdr>
            </w:div>
          </w:divsChild>
        </w:div>
        <w:div w:id="1631669396">
          <w:marLeft w:val="0"/>
          <w:marRight w:val="0"/>
          <w:marTop w:val="0"/>
          <w:marBottom w:val="0"/>
          <w:divBdr>
            <w:top w:val="none" w:sz="0" w:space="0" w:color="auto"/>
            <w:left w:val="none" w:sz="0" w:space="0" w:color="auto"/>
            <w:bottom w:val="none" w:sz="0" w:space="0" w:color="auto"/>
            <w:right w:val="none" w:sz="0" w:space="0" w:color="auto"/>
          </w:divBdr>
          <w:divsChild>
            <w:div w:id="401290550">
              <w:marLeft w:val="0"/>
              <w:marRight w:val="0"/>
              <w:marTop w:val="0"/>
              <w:marBottom w:val="0"/>
              <w:divBdr>
                <w:top w:val="none" w:sz="0" w:space="0" w:color="auto"/>
                <w:left w:val="none" w:sz="0" w:space="0" w:color="auto"/>
                <w:bottom w:val="none" w:sz="0" w:space="0" w:color="auto"/>
                <w:right w:val="none" w:sz="0" w:space="0" w:color="auto"/>
              </w:divBdr>
            </w:div>
          </w:divsChild>
        </w:div>
        <w:div w:id="1726442120">
          <w:marLeft w:val="0"/>
          <w:marRight w:val="0"/>
          <w:marTop w:val="0"/>
          <w:marBottom w:val="0"/>
          <w:divBdr>
            <w:top w:val="none" w:sz="0" w:space="0" w:color="auto"/>
            <w:left w:val="none" w:sz="0" w:space="0" w:color="auto"/>
            <w:bottom w:val="none" w:sz="0" w:space="0" w:color="auto"/>
            <w:right w:val="none" w:sz="0" w:space="0" w:color="auto"/>
          </w:divBdr>
          <w:divsChild>
            <w:div w:id="1086417717">
              <w:marLeft w:val="0"/>
              <w:marRight w:val="0"/>
              <w:marTop w:val="0"/>
              <w:marBottom w:val="0"/>
              <w:divBdr>
                <w:top w:val="none" w:sz="0" w:space="0" w:color="auto"/>
                <w:left w:val="none" w:sz="0" w:space="0" w:color="auto"/>
                <w:bottom w:val="none" w:sz="0" w:space="0" w:color="auto"/>
                <w:right w:val="none" w:sz="0" w:space="0" w:color="auto"/>
              </w:divBdr>
            </w:div>
          </w:divsChild>
        </w:div>
        <w:div w:id="1815217468">
          <w:marLeft w:val="0"/>
          <w:marRight w:val="0"/>
          <w:marTop w:val="0"/>
          <w:marBottom w:val="0"/>
          <w:divBdr>
            <w:top w:val="none" w:sz="0" w:space="0" w:color="auto"/>
            <w:left w:val="none" w:sz="0" w:space="0" w:color="auto"/>
            <w:bottom w:val="none" w:sz="0" w:space="0" w:color="auto"/>
            <w:right w:val="none" w:sz="0" w:space="0" w:color="auto"/>
          </w:divBdr>
          <w:divsChild>
            <w:div w:id="542138421">
              <w:marLeft w:val="0"/>
              <w:marRight w:val="0"/>
              <w:marTop w:val="0"/>
              <w:marBottom w:val="0"/>
              <w:divBdr>
                <w:top w:val="none" w:sz="0" w:space="0" w:color="auto"/>
                <w:left w:val="none" w:sz="0" w:space="0" w:color="auto"/>
                <w:bottom w:val="none" w:sz="0" w:space="0" w:color="auto"/>
                <w:right w:val="none" w:sz="0" w:space="0" w:color="auto"/>
              </w:divBdr>
            </w:div>
          </w:divsChild>
        </w:div>
        <w:div w:id="1861233855">
          <w:marLeft w:val="0"/>
          <w:marRight w:val="0"/>
          <w:marTop w:val="0"/>
          <w:marBottom w:val="0"/>
          <w:divBdr>
            <w:top w:val="none" w:sz="0" w:space="0" w:color="auto"/>
            <w:left w:val="none" w:sz="0" w:space="0" w:color="auto"/>
            <w:bottom w:val="none" w:sz="0" w:space="0" w:color="auto"/>
            <w:right w:val="none" w:sz="0" w:space="0" w:color="auto"/>
          </w:divBdr>
          <w:divsChild>
            <w:div w:id="1112821808">
              <w:marLeft w:val="0"/>
              <w:marRight w:val="0"/>
              <w:marTop w:val="0"/>
              <w:marBottom w:val="0"/>
              <w:divBdr>
                <w:top w:val="none" w:sz="0" w:space="0" w:color="auto"/>
                <w:left w:val="none" w:sz="0" w:space="0" w:color="auto"/>
                <w:bottom w:val="none" w:sz="0" w:space="0" w:color="auto"/>
                <w:right w:val="none" w:sz="0" w:space="0" w:color="auto"/>
              </w:divBdr>
            </w:div>
          </w:divsChild>
        </w:div>
        <w:div w:id="1959602410">
          <w:marLeft w:val="0"/>
          <w:marRight w:val="0"/>
          <w:marTop w:val="0"/>
          <w:marBottom w:val="0"/>
          <w:divBdr>
            <w:top w:val="none" w:sz="0" w:space="0" w:color="auto"/>
            <w:left w:val="none" w:sz="0" w:space="0" w:color="auto"/>
            <w:bottom w:val="none" w:sz="0" w:space="0" w:color="auto"/>
            <w:right w:val="none" w:sz="0" w:space="0" w:color="auto"/>
          </w:divBdr>
          <w:divsChild>
            <w:div w:id="1992326206">
              <w:marLeft w:val="0"/>
              <w:marRight w:val="0"/>
              <w:marTop w:val="0"/>
              <w:marBottom w:val="0"/>
              <w:divBdr>
                <w:top w:val="none" w:sz="0" w:space="0" w:color="auto"/>
                <w:left w:val="none" w:sz="0" w:space="0" w:color="auto"/>
                <w:bottom w:val="none" w:sz="0" w:space="0" w:color="auto"/>
                <w:right w:val="none" w:sz="0" w:space="0" w:color="auto"/>
              </w:divBdr>
            </w:div>
          </w:divsChild>
        </w:div>
        <w:div w:id="2050564160">
          <w:marLeft w:val="0"/>
          <w:marRight w:val="0"/>
          <w:marTop w:val="0"/>
          <w:marBottom w:val="0"/>
          <w:divBdr>
            <w:top w:val="none" w:sz="0" w:space="0" w:color="auto"/>
            <w:left w:val="none" w:sz="0" w:space="0" w:color="auto"/>
            <w:bottom w:val="none" w:sz="0" w:space="0" w:color="auto"/>
            <w:right w:val="none" w:sz="0" w:space="0" w:color="auto"/>
          </w:divBdr>
          <w:divsChild>
            <w:div w:id="95729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559358">
      <w:bodyDiv w:val="1"/>
      <w:marLeft w:val="0"/>
      <w:marRight w:val="0"/>
      <w:marTop w:val="0"/>
      <w:marBottom w:val="0"/>
      <w:divBdr>
        <w:top w:val="none" w:sz="0" w:space="0" w:color="auto"/>
        <w:left w:val="none" w:sz="0" w:space="0" w:color="auto"/>
        <w:bottom w:val="none" w:sz="0" w:space="0" w:color="auto"/>
        <w:right w:val="none" w:sz="0" w:space="0" w:color="auto"/>
      </w:divBdr>
      <w:divsChild>
        <w:div w:id="1377320025">
          <w:marLeft w:val="0"/>
          <w:marRight w:val="0"/>
          <w:marTop w:val="0"/>
          <w:marBottom w:val="0"/>
          <w:divBdr>
            <w:top w:val="none" w:sz="0" w:space="0" w:color="auto"/>
            <w:left w:val="none" w:sz="0" w:space="0" w:color="auto"/>
            <w:bottom w:val="none" w:sz="0" w:space="0" w:color="auto"/>
            <w:right w:val="none" w:sz="0" w:space="0" w:color="auto"/>
          </w:divBdr>
        </w:div>
        <w:div w:id="1881745630">
          <w:marLeft w:val="0"/>
          <w:marRight w:val="0"/>
          <w:marTop w:val="0"/>
          <w:marBottom w:val="0"/>
          <w:divBdr>
            <w:top w:val="none" w:sz="0" w:space="0" w:color="auto"/>
            <w:left w:val="none" w:sz="0" w:space="0" w:color="auto"/>
            <w:bottom w:val="none" w:sz="0" w:space="0" w:color="auto"/>
            <w:right w:val="none" w:sz="0" w:space="0" w:color="auto"/>
          </w:divBdr>
        </w:div>
      </w:divsChild>
    </w:div>
    <w:div w:id="1189486987">
      <w:bodyDiv w:val="1"/>
      <w:marLeft w:val="0"/>
      <w:marRight w:val="0"/>
      <w:marTop w:val="0"/>
      <w:marBottom w:val="0"/>
      <w:divBdr>
        <w:top w:val="none" w:sz="0" w:space="0" w:color="auto"/>
        <w:left w:val="none" w:sz="0" w:space="0" w:color="auto"/>
        <w:bottom w:val="none" w:sz="0" w:space="0" w:color="auto"/>
        <w:right w:val="none" w:sz="0" w:space="0" w:color="auto"/>
      </w:divBdr>
    </w:div>
    <w:div w:id="1239944771">
      <w:bodyDiv w:val="1"/>
      <w:marLeft w:val="0"/>
      <w:marRight w:val="0"/>
      <w:marTop w:val="0"/>
      <w:marBottom w:val="0"/>
      <w:divBdr>
        <w:top w:val="none" w:sz="0" w:space="0" w:color="auto"/>
        <w:left w:val="none" w:sz="0" w:space="0" w:color="auto"/>
        <w:bottom w:val="none" w:sz="0" w:space="0" w:color="auto"/>
        <w:right w:val="none" w:sz="0" w:space="0" w:color="auto"/>
      </w:divBdr>
    </w:div>
    <w:div w:id="1243563648">
      <w:bodyDiv w:val="1"/>
      <w:marLeft w:val="0"/>
      <w:marRight w:val="0"/>
      <w:marTop w:val="0"/>
      <w:marBottom w:val="0"/>
      <w:divBdr>
        <w:top w:val="none" w:sz="0" w:space="0" w:color="auto"/>
        <w:left w:val="none" w:sz="0" w:space="0" w:color="auto"/>
        <w:bottom w:val="none" w:sz="0" w:space="0" w:color="auto"/>
        <w:right w:val="none" w:sz="0" w:space="0" w:color="auto"/>
      </w:divBdr>
      <w:divsChild>
        <w:div w:id="161118468">
          <w:marLeft w:val="0"/>
          <w:marRight w:val="0"/>
          <w:marTop w:val="0"/>
          <w:marBottom w:val="0"/>
          <w:divBdr>
            <w:top w:val="none" w:sz="0" w:space="0" w:color="auto"/>
            <w:left w:val="none" w:sz="0" w:space="0" w:color="auto"/>
            <w:bottom w:val="none" w:sz="0" w:space="0" w:color="auto"/>
            <w:right w:val="none" w:sz="0" w:space="0" w:color="auto"/>
          </w:divBdr>
        </w:div>
        <w:div w:id="207030968">
          <w:marLeft w:val="0"/>
          <w:marRight w:val="0"/>
          <w:marTop w:val="0"/>
          <w:marBottom w:val="0"/>
          <w:divBdr>
            <w:top w:val="none" w:sz="0" w:space="0" w:color="auto"/>
            <w:left w:val="none" w:sz="0" w:space="0" w:color="auto"/>
            <w:bottom w:val="none" w:sz="0" w:space="0" w:color="auto"/>
            <w:right w:val="none" w:sz="0" w:space="0" w:color="auto"/>
          </w:divBdr>
        </w:div>
        <w:div w:id="249390798">
          <w:marLeft w:val="0"/>
          <w:marRight w:val="0"/>
          <w:marTop w:val="0"/>
          <w:marBottom w:val="0"/>
          <w:divBdr>
            <w:top w:val="none" w:sz="0" w:space="0" w:color="auto"/>
            <w:left w:val="none" w:sz="0" w:space="0" w:color="auto"/>
            <w:bottom w:val="none" w:sz="0" w:space="0" w:color="auto"/>
            <w:right w:val="none" w:sz="0" w:space="0" w:color="auto"/>
          </w:divBdr>
        </w:div>
        <w:div w:id="473832581">
          <w:marLeft w:val="0"/>
          <w:marRight w:val="0"/>
          <w:marTop w:val="0"/>
          <w:marBottom w:val="0"/>
          <w:divBdr>
            <w:top w:val="none" w:sz="0" w:space="0" w:color="auto"/>
            <w:left w:val="none" w:sz="0" w:space="0" w:color="auto"/>
            <w:bottom w:val="none" w:sz="0" w:space="0" w:color="auto"/>
            <w:right w:val="none" w:sz="0" w:space="0" w:color="auto"/>
          </w:divBdr>
        </w:div>
        <w:div w:id="535970330">
          <w:marLeft w:val="0"/>
          <w:marRight w:val="0"/>
          <w:marTop w:val="0"/>
          <w:marBottom w:val="0"/>
          <w:divBdr>
            <w:top w:val="none" w:sz="0" w:space="0" w:color="auto"/>
            <w:left w:val="none" w:sz="0" w:space="0" w:color="auto"/>
            <w:bottom w:val="none" w:sz="0" w:space="0" w:color="auto"/>
            <w:right w:val="none" w:sz="0" w:space="0" w:color="auto"/>
          </w:divBdr>
        </w:div>
        <w:div w:id="669022245">
          <w:marLeft w:val="0"/>
          <w:marRight w:val="0"/>
          <w:marTop w:val="0"/>
          <w:marBottom w:val="0"/>
          <w:divBdr>
            <w:top w:val="none" w:sz="0" w:space="0" w:color="auto"/>
            <w:left w:val="none" w:sz="0" w:space="0" w:color="auto"/>
            <w:bottom w:val="none" w:sz="0" w:space="0" w:color="auto"/>
            <w:right w:val="none" w:sz="0" w:space="0" w:color="auto"/>
          </w:divBdr>
        </w:div>
        <w:div w:id="808977355">
          <w:marLeft w:val="0"/>
          <w:marRight w:val="0"/>
          <w:marTop w:val="0"/>
          <w:marBottom w:val="0"/>
          <w:divBdr>
            <w:top w:val="none" w:sz="0" w:space="0" w:color="auto"/>
            <w:left w:val="none" w:sz="0" w:space="0" w:color="auto"/>
            <w:bottom w:val="none" w:sz="0" w:space="0" w:color="auto"/>
            <w:right w:val="none" w:sz="0" w:space="0" w:color="auto"/>
          </w:divBdr>
        </w:div>
        <w:div w:id="821166699">
          <w:marLeft w:val="0"/>
          <w:marRight w:val="0"/>
          <w:marTop w:val="0"/>
          <w:marBottom w:val="0"/>
          <w:divBdr>
            <w:top w:val="none" w:sz="0" w:space="0" w:color="auto"/>
            <w:left w:val="none" w:sz="0" w:space="0" w:color="auto"/>
            <w:bottom w:val="none" w:sz="0" w:space="0" w:color="auto"/>
            <w:right w:val="none" w:sz="0" w:space="0" w:color="auto"/>
          </w:divBdr>
        </w:div>
        <w:div w:id="1038358046">
          <w:marLeft w:val="0"/>
          <w:marRight w:val="0"/>
          <w:marTop w:val="0"/>
          <w:marBottom w:val="0"/>
          <w:divBdr>
            <w:top w:val="none" w:sz="0" w:space="0" w:color="auto"/>
            <w:left w:val="none" w:sz="0" w:space="0" w:color="auto"/>
            <w:bottom w:val="none" w:sz="0" w:space="0" w:color="auto"/>
            <w:right w:val="none" w:sz="0" w:space="0" w:color="auto"/>
          </w:divBdr>
        </w:div>
        <w:div w:id="1222593972">
          <w:marLeft w:val="0"/>
          <w:marRight w:val="0"/>
          <w:marTop w:val="0"/>
          <w:marBottom w:val="0"/>
          <w:divBdr>
            <w:top w:val="none" w:sz="0" w:space="0" w:color="auto"/>
            <w:left w:val="none" w:sz="0" w:space="0" w:color="auto"/>
            <w:bottom w:val="none" w:sz="0" w:space="0" w:color="auto"/>
            <w:right w:val="none" w:sz="0" w:space="0" w:color="auto"/>
          </w:divBdr>
        </w:div>
        <w:div w:id="1606842391">
          <w:marLeft w:val="0"/>
          <w:marRight w:val="0"/>
          <w:marTop w:val="0"/>
          <w:marBottom w:val="0"/>
          <w:divBdr>
            <w:top w:val="none" w:sz="0" w:space="0" w:color="auto"/>
            <w:left w:val="none" w:sz="0" w:space="0" w:color="auto"/>
            <w:bottom w:val="none" w:sz="0" w:space="0" w:color="auto"/>
            <w:right w:val="none" w:sz="0" w:space="0" w:color="auto"/>
          </w:divBdr>
        </w:div>
        <w:div w:id="1651597283">
          <w:marLeft w:val="0"/>
          <w:marRight w:val="0"/>
          <w:marTop w:val="0"/>
          <w:marBottom w:val="0"/>
          <w:divBdr>
            <w:top w:val="none" w:sz="0" w:space="0" w:color="auto"/>
            <w:left w:val="none" w:sz="0" w:space="0" w:color="auto"/>
            <w:bottom w:val="none" w:sz="0" w:space="0" w:color="auto"/>
            <w:right w:val="none" w:sz="0" w:space="0" w:color="auto"/>
          </w:divBdr>
        </w:div>
        <w:div w:id="1830057124">
          <w:marLeft w:val="0"/>
          <w:marRight w:val="0"/>
          <w:marTop w:val="0"/>
          <w:marBottom w:val="0"/>
          <w:divBdr>
            <w:top w:val="none" w:sz="0" w:space="0" w:color="auto"/>
            <w:left w:val="none" w:sz="0" w:space="0" w:color="auto"/>
            <w:bottom w:val="none" w:sz="0" w:space="0" w:color="auto"/>
            <w:right w:val="none" w:sz="0" w:space="0" w:color="auto"/>
          </w:divBdr>
        </w:div>
      </w:divsChild>
    </w:div>
    <w:div w:id="1299845953">
      <w:bodyDiv w:val="1"/>
      <w:marLeft w:val="0"/>
      <w:marRight w:val="0"/>
      <w:marTop w:val="0"/>
      <w:marBottom w:val="0"/>
      <w:divBdr>
        <w:top w:val="none" w:sz="0" w:space="0" w:color="auto"/>
        <w:left w:val="none" w:sz="0" w:space="0" w:color="auto"/>
        <w:bottom w:val="none" w:sz="0" w:space="0" w:color="auto"/>
        <w:right w:val="none" w:sz="0" w:space="0" w:color="auto"/>
      </w:divBdr>
    </w:div>
    <w:div w:id="1300266061">
      <w:bodyDiv w:val="1"/>
      <w:marLeft w:val="0"/>
      <w:marRight w:val="0"/>
      <w:marTop w:val="0"/>
      <w:marBottom w:val="0"/>
      <w:divBdr>
        <w:top w:val="none" w:sz="0" w:space="0" w:color="auto"/>
        <w:left w:val="none" w:sz="0" w:space="0" w:color="auto"/>
        <w:bottom w:val="none" w:sz="0" w:space="0" w:color="auto"/>
        <w:right w:val="none" w:sz="0" w:space="0" w:color="auto"/>
      </w:divBdr>
    </w:div>
    <w:div w:id="1304316224">
      <w:bodyDiv w:val="1"/>
      <w:marLeft w:val="0"/>
      <w:marRight w:val="0"/>
      <w:marTop w:val="0"/>
      <w:marBottom w:val="0"/>
      <w:divBdr>
        <w:top w:val="none" w:sz="0" w:space="0" w:color="auto"/>
        <w:left w:val="none" w:sz="0" w:space="0" w:color="auto"/>
        <w:bottom w:val="none" w:sz="0" w:space="0" w:color="auto"/>
        <w:right w:val="none" w:sz="0" w:space="0" w:color="auto"/>
      </w:divBdr>
    </w:div>
    <w:div w:id="1351106410">
      <w:bodyDiv w:val="1"/>
      <w:marLeft w:val="0"/>
      <w:marRight w:val="0"/>
      <w:marTop w:val="0"/>
      <w:marBottom w:val="0"/>
      <w:divBdr>
        <w:top w:val="none" w:sz="0" w:space="0" w:color="auto"/>
        <w:left w:val="none" w:sz="0" w:space="0" w:color="auto"/>
        <w:bottom w:val="none" w:sz="0" w:space="0" w:color="auto"/>
        <w:right w:val="none" w:sz="0" w:space="0" w:color="auto"/>
      </w:divBdr>
    </w:div>
    <w:div w:id="1485051704">
      <w:bodyDiv w:val="1"/>
      <w:marLeft w:val="0"/>
      <w:marRight w:val="0"/>
      <w:marTop w:val="0"/>
      <w:marBottom w:val="0"/>
      <w:divBdr>
        <w:top w:val="none" w:sz="0" w:space="0" w:color="auto"/>
        <w:left w:val="none" w:sz="0" w:space="0" w:color="auto"/>
        <w:bottom w:val="none" w:sz="0" w:space="0" w:color="auto"/>
        <w:right w:val="none" w:sz="0" w:space="0" w:color="auto"/>
      </w:divBdr>
    </w:div>
    <w:div w:id="1558854125">
      <w:bodyDiv w:val="1"/>
      <w:marLeft w:val="0"/>
      <w:marRight w:val="0"/>
      <w:marTop w:val="0"/>
      <w:marBottom w:val="0"/>
      <w:divBdr>
        <w:top w:val="none" w:sz="0" w:space="0" w:color="auto"/>
        <w:left w:val="none" w:sz="0" w:space="0" w:color="auto"/>
        <w:bottom w:val="none" w:sz="0" w:space="0" w:color="auto"/>
        <w:right w:val="none" w:sz="0" w:space="0" w:color="auto"/>
      </w:divBdr>
    </w:div>
    <w:div w:id="1584954690">
      <w:bodyDiv w:val="1"/>
      <w:marLeft w:val="0"/>
      <w:marRight w:val="0"/>
      <w:marTop w:val="0"/>
      <w:marBottom w:val="0"/>
      <w:divBdr>
        <w:top w:val="none" w:sz="0" w:space="0" w:color="auto"/>
        <w:left w:val="none" w:sz="0" w:space="0" w:color="auto"/>
        <w:bottom w:val="none" w:sz="0" w:space="0" w:color="auto"/>
        <w:right w:val="none" w:sz="0" w:space="0" w:color="auto"/>
      </w:divBdr>
    </w:div>
    <w:div w:id="1589264597">
      <w:bodyDiv w:val="1"/>
      <w:marLeft w:val="0"/>
      <w:marRight w:val="0"/>
      <w:marTop w:val="0"/>
      <w:marBottom w:val="0"/>
      <w:divBdr>
        <w:top w:val="none" w:sz="0" w:space="0" w:color="auto"/>
        <w:left w:val="none" w:sz="0" w:space="0" w:color="auto"/>
        <w:bottom w:val="none" w:sz="0" w:space="0" w:color="auto"/>
        <w:right w:val="none" w:sz="0" w:space="0" w:color="auto"/>
      </w:divBdr>
    </w:div>
    <w:div w:id="1631668202">
      <w:bodyDiv w:val="1"/>
      <w:marLeft w:val="0"/>
      <w:marRight w:val="0"/>
      <w:marTop w:val="0"/>
      <w:marBottom w:val="0"/>
      <w:divBdr>
        <w:top w:val="none" w:sz="0" w:space="0" w:color="auto"/>
        <w:left w:val="none" w:sz="0" w:space="0" w:color="auto"/>
        <w:bottom w:val="none" w:sz="0" w:space="0" w:color="auto"/>
        <w:right w:val="none" w:sz="0" w:space="0" w:color="auto"/>
      </w:divBdr>
    </w:div>
    <w:div w:id="1690183537">
      <w:bodyDiv w:val="1"/>
      <w:marLeft w:val="0"/>
      <w:marRight w:val="0"/>
      <w:marTop w:val="0"/>
      <w:marBottom w:val="0"/>
      <w:divBdr>
        <w:top w:val="none" w:sz="0" w:space="0" w:color="auto"/>
        <w:left w:val="none" w:sz="0" w:space="0" w:color="auto"/>
        <w:bottom w:val="none" w:sz="0" w:space="0" w:color="auto"/>
        <w:right w:val="none" w:sz="0" w:space="0" w:color="auto"/>
      </w:divBdr>
    </w:div>
    <w:div w:id="1698500499">
      <w:bodyDiv w:val="1"/>
      <w:marLeft w:val="0"/>
      <w:marRight w:val="0"/>
      <w:marTop w:val="0"/>
      <w:marBottom w:val="0"/>
      <w:divBdr>
        <w:top w:val="none" w:sz="0" w:space="0" w:color="auto"/>
        <w:left w:val="none" w:sz="0" w:space="0" w:color="auto"/>
        <w:bottom w:val="none" w:sz="0" w:space="0" w:color="auto"/>
        <w:right w:val="none" w:sz="0" w:space="0" w:color="auto"/>
      </w:divBdr>
    </w:div>
    <w:div w:id="1722485504">
      <w:bodyDiv w:val="1"/>
      <w:marLeft w:val="0"/>
      <w:marRight w:val="0"/>
      <w:marTop w:val="0"/>
      <w:marBottom w:val="0"/>
      <w:divBdr>
        <w:top w:val="none" w:sz="0" w:space="0" w:color="auto"/>
        <w:left w:val="none" w:sz="0" w:space="0" w:color="auto"/>
        <w:bottom w:val="none" w:sz="0" w:space="0" w:color="auto"/>
        <w:right w:val="none" w:sz="0" w:space="0" w:color="auto"/>
      </w:divBdr>
    </w:div>
    <w:div w:id="1739402193">
      <w:bodyDiv w:val="1"/>
      <w:marLeft w:val="0"/>
      <w:marRight w:val="0"/>
      <w:marTop w:val="0"/>
      <w:marBottom w:val="0"/>
      <w:divBdr>
        <w:top w:val="none" w:sz="0" w:space="0" w:color="auto"/>
        <w:left w:val="none" w:sz="0" w:space="0" w:color="auto"/>
        <w:bottom w:val="none" w:sz="0" w:space="0" w:color="auto"/>
        <w:right w:val="none" w:sz="0" w:space="0" w:color="auto"/>
      </w:divBdr>
    </w:div>
    <w:div w:id="1826162874">
      <w:bodyDiv w:val="1"/>
      <w:marLeft w:val="0"/>
      <w:marRight w:val="0"/>
      <w:marTop w:val="0"/>
      <w:marBottom w:val="0"/>
      <w:divBdr>
        <w:top w:val="none" w:sz="0" w:space="0" w:color="auto"/>
        <w:left w:val="none" w:sz="0" w:space="0" w:color="auto"/>
        <w:bottom w:val="none" w:sz="0" w:space="0" w:color="auto"/>
        <w:right w:val="none" w:sz="0" w:space="0" w:color="auto"/>
      </w:divBdr>
    </w:div>
    <w:div w:id="1849557824">
      <w:bodyDiv w:val="1"/>
      <w:marLeft w:val="0"/>
      <w:marRight w:val="0"/>
      <w:marTop w:val="0"/>
      <w:marBottom w:val="0"/>
      <w:divBdr>
        <w:top w:val="none" w:sz="0" w:space="0" w:color="auto"/>
        <w:left w:val="none" w:sz="0" w:space="0" w:color="auto"/>
        <w:bottom w:val="none" w:sz="0" w:space="0" w:color="auto"/>
        <w:right w:val="none" w:sz="0" w:space="0" w:color="auto"/>
      </w:divBdr>
    </w:div>
    <w:div w:id="1884823761">
      <w:bodyDiv w:val="1"/>
      <w:marLeft w:val="0"/>
      <w:marRight w:val="0"/>
      <w:marTop w:val="0"/>
      <w:marBottom w:val="0"/>
      <w:divBdr>
        <w:top w:val="none" w:sz="0" w:space="0" w:color="auto"/>
        <w:left w:val="none" w:sz="0" w:space="0" w:color="auto"/>
        <w:bottom w:val="none" w:sz="0" w:space="0" w:color="auto"/>
        <w:right w:val="none" w:sz="0" w:space="0" w:color="auto"/>
      </w:divBdr>
    </w:div>
    <w:div w:id="1892031975">
      <w:bodyDiv w:val="1"/>
      <w:marLeft w:val="0"/>
      <w:marRight w:val="0"/>
      <w:marTop w:val="0"/>
      <w:marBottom w:val="0"/>
      <w:divBdr>
        <w:top w:val="none" w:sz="0" w:space="0" w:color="auto"/>
        <w:left w:val="none" w:sz="0" w:space="0" w:color="auto"/>
        <w:bottom w:val="none" w:sz="0" w:space="0" w:color="auto"/>
        <w:right w:val="none" w:sz="0" w:space="0" w:color="auto"/>
      </w:divBdr>
    </w:div>
    <w:div w:id="1922056780">
      <w:bodyDiv w:val="1"/>
      <w:marLeft w:val="0"/>
      <w:marRight w:val="0"/>
      <w:marTop w:val="0"/>
      <w:marBottom w:val="0"/>
      <w:divBdr>
        <w:top w:val="none" w:sz="0" w:space="0" w:color="auto"/>
        <w:left w:val="none" w:sz="0" w:space="0" w:color="auto"/>
        <w:bottom w:val="none" w:sz="0" w:space="0" w:color="auto"/>
        <w:right w:val="none" w:sz="0" w:space="0" w:color="auto"/>
      </w:divBdr>
    </w:div>
    <w:div w:id="1933392258">
      <w:bodyDiv w:val="1"/>
      <w:marLeft w:val="0"/>
      <w:marRight w:val="0"/>
      <w:marTop w:val="0"/>
      <w:marBottom w:val="0"/>
      <w:divBdr>
        <w:top w:val="none" w:sz="0" w:space="0" w:color="auto"/>
        <w:left w:val="none" w:sz="0" w:space="0" w:color="auto"/>
        <w:bottom w:val="none" w:sz="0" w:space="0" w:color="auto"/>
        <w:right w:val="none" w:sz="0" w:space="0" w:color="auto"/>
      </w:divBdr>
    </w:div>
    <w:div w:id="1962034677">
      <w:bodyDiv w:val="1"/>
      <w:marLeft w:val="0"/>
      <w:marRight w:val="0"/>
      <w:marTop w:val="0"/>
      <w:marBottom w:val="0"/>
      <w:divBdr>
        <w:top w:val="none" w:sz="0" w:space="0" w:color="auto"/>
        <w:left w:val="none" w:sz="0" w:space="0" w:color="auto"/>
        <w:bottom w:val="none" w:sz="0" w:space="0" w:color="auto"/>
        <w:right w:val="none" w:sz="0" w:space="0" w:color="auto"/>
      </w:divBdr>
      <w:divsChild>
        <w:div w:id="100803018">
          <w:marLeft w:val="0"/>
          <w:marRight w:val="0"/>
          <w:marTop w:val="0"/>
          <w:marBottom w:val="0"/>
          <w:divBdr>
            <w:top w:val="none" w:sz="0" w:space="0" w:color="auto"/>
            <w:left w:val="none" w:sz="0" w:space="0" w:color="auto"/>
            <w:bottom w:val="none" w:sz="0" w:space="0" w:color="auto"/>
            <w:right w:val="none" w:sz="0" w:space="0" w:color="auto"/>
          </w:divBdr>
        </w:div>
        <w:div w:id="103040925">
          <w:marLeft w:val="0"/>
          <w:marRight w:val="0"/>
          <w:marTop w:val="0"/>
          <w:marBottom w:val="0"/>
          <w:divBdr>
            <w:top w:val="none" w:sz="0" w:space="0" w:color="auto"/>
            <w:left w:val="none" w:sz="0" w:space="0" w:color="auto"/>
            <w:bottom w:val="none" w:sz="0" w:space="0" w:color="auto"/>
            <w:right w:val="none" w:sz="0" w:space="0" w:color="auto"/>
          </w:divBdr>
        </w:div>
        <w:div w:id="213659044">
          <w:marLeft w:val="0"/>
          <w:marRight w:val="0"/>
          <w:marTop w:val="0"/>
          <w:marBottom w:val="0"/>
          <w:divBdr>
            <w:top w:val="none" w:sz="0" w:space="0" w:color="auto"/>
            <w:left w:val="none" w:sz="0" w:space="0" w:color="auto"/>
            <w:bottom w:val="none" w:sz="0" w:space="0" w:color="auto"/>
            <w:right w:val="none" w:sz="0" w:space="0" w:color="auto"/>
          </w:divBdr>
        </w:div>
        <w:div w:id="477917831">
          <w:marLeft w:val="0"/>
          <w:marRight w:val="0"/>
          <w:marTop w:val="0"/>
          <w:marBottom w:val="0"/>
          <w:divBdr>
            <w:top w:val="none" w:sz="0" w:space="0" w:color="auto"/>
            <w:left w:val="none" w:sz="0" w:space="0" w:color="auto"/>
            <w:bottom w:val="none" w:sz="0" w:space="0" w:color="auto"/>
            <w:right w:val="none" w:sz="0" w:space="0" w:color="auto"/>
          </w:divBdr>
        </w:div>
        <w:div w:id="563611575">
          <w:marLeft w:val="0"/>
          <w:marRight w:val="0"/>
          <w:marTop w:val="0"/>
          <w:marBottom w:val="0"/>
          <w:divBdr>
            <w:top w:val="none" w:sz="0" w:space="0" w:color="auto"/>
            <w:left w:val="none" w:sz="0" w:space="0" w:color="auto"/>
            <w:bottom w:val="none" w:sz="0" w:space="0" w:color="auto"/>
            <w:right w:val="none" w:sz="0" w:space="0" w:color="auto"/>
          </w:divBdr>
        </w:div>
        <w:div w:id="584071498">
          <w:marLeft w:val="0"/>
          <w:marRight w:val="0"/>
          <w:marTop w:val="0"/>
          <w:marBottom w:val="0"/>
          <w:divBdr>
            <w:top w:val="none" w:sz="0" w:space="0" w:color="auto"/>
            <w:left w:val="none" w:sz="0" w:space="0" w:color="auto"/>
            <w:bottom w:val="none" w:sz="0" w:space="0" w:color="auto"/>
            <w:right w:val="none" w:sz="0" w:space="0" w:color="auto"/>
          </w:divBdr>
        </w:div>
        <w:div w:id="613025649">
          <w:marLeft w:val="0"/>
          <w:marRight w:val="0"/>
          <w:marTop w:val="0"/>
          <w:marBottom w:val="0"/>
          <w:divBdr>
            <w:top w:val="none" w:sz="0" w:space="0" w:color="auto"/>
            <w:left w:val="none" w:sz="0" w:space="0" w:color="auto"/>
            <w:bottom w:val="none" w:sz="0" w:space="0" w:color="auto"/>
            <w:right w:val="none" w:sz="0" w:space="0" w:color="auto"/>
          </w:divBdr>
        </w:div>
        <w:div w:id="865098124">
          <w:marLeft w:val="0"/>
          <w:marRight w:val="0"/>
          <w:marTop w:val="0"/>
          <w:marBottom w:val="0"/>
          <w:divBdr>
            <w:top w:val="none" w:sz="0" w:space="0" w:color="auto"/>
            <w:left w:val="none" w:sz="0" w:space="0" w:color="auto"/>
            <w:bottom w:val="none" w:sz="0" w:space="0" w:color="auto"/>
            <w:right w:val="none" w:sz="0" w:space="0" w:color="auto"/>
          </w:divBdr>
        </w:div>
        <w:div w:id="1269388752">
          <w:marLeft w:val="0"/>
          <w:marRight w:val="0"/>
          <w:marTop w:val="0"/>
          <w:marBottom w:val="0"/>
          <w:divBdr>
            <w:top w:val="none" w:sz="0" w:space="0" w:color="auto"/>
            <w:left w:val="none" w:sz="0" w:space="0" w:color="auto"/>
            <w:bottom w:val="none" w:sz="0" w:space="0" w:color="auto"/>
            <w:right w:val="none" w:sz="0" w:space="0" w:color="auto"/>
          </w:divBdr>
        </w:div>
        <w:div w:id="1439329610">
          <w:marLeft w:val="0"/>
          <w:marRight w:val="0"/>
          <w:marTop w:val="0"/>
          <w:marBottom w:val="0"/>
          <w:divBdr>
            <w:top w:val="none" w:sz="0" w:space="0" w:color="auto"/>
            <w:left w:val="none" w:sz="0" w:space="0" w:color="auto"/>
            <w:bottom w:val="none" w:sz="0" w:space="0" w:color="auto"/>
            <w:right w:val="none" w:sz="0" w:space="0" w:color="auto"/>
          </w:divBdr>
        </w:div>
        <w:div w:id="1486164773">
          <w:marLeft w:val="0"/>
          <w:marRight w:val="0"/>
          <w:marTop w:val="0"/>
          <w:marBottom w:val="0"/>
          <w:divBdr>
            <w:top w:val="none" w:sz="0" w:space="0" w:color="auto"/>
            <w:left w:val="none" w:sz="0" w:space="0" w:color="auto"/>
            <w:bottom w:val="none" w:sz="0" w:space="0" w:color="auto"/>
            <w:right w:val="none" w:sz="0" w:space="0" w:color="auto"/>
          </w:divBdr>
        </w:div>
        <w:div w:id="1638607976">
          <w:marLeft w:val="0"/>
          <w:marRight w:val="0"/>
          <w:marTop w:val="0"/>
          <w:marBottom w:val="0"/>
          <w:divBdr>
            <w:top w:val="none" w:sz="0" w:space="0" w:color="auto"/>
            <w:left w:val="none" w:sz="0" w:space="0" w:color="auto"/>
            <w:bottom w:val="none" w:sz="0" w:space="0" w:color="auto"/>
            <w:right w:val="none" w:sz="0" w:space="0" w:color="auto"/>
          </w:divBdr>
        </w:div>
        <w:div w:id="1683193768">
          <w:marLeft w:val="0"/>
          <w:marRight w:val="0"/>
          <w:marTop w:val="0"/>
          <w:marBottom w:val="0"/>
          <w:divBdr>
            <w:top w:val="none" w:sz="0" w:space="0" w:color="auto"/>
            <w:left w:val="none" w:sz="0" w:space="0" w:color="auto"/>
            <w:bottom w:val="none" w:sz="0" w:space="0" w:color="auto"/>
            <w:right w:val="none" w:sz="0" w:space="0" w:color="auto"/>
          </w:divBdr>
        </w:div>
        <w:div w:id="1754162694">
          <w:marLeft w:val="0"/>
          <w:marRight w:val="0"/>
          <w:marTop w:val="0"/>
          <w:marBottom w:val="0"/>
          <w:divBdr>
            <w:top w:val="none" w:sz="0" w:space="0" w:color="auto"/>
            <w:left w:val="none" w:sz="0" w:space="0" w:color="auto"/>
            <w:bottom w:val="none" w:sz="0" w:space="0" w:color="auto"/>
            <w:right w:val="none" w:sz="0" w:space="0" w:color="auto"/>
          </w:divBdr>
        </w:div>
        <w:div w:id="2018648543">
          <w:marLeft w:val="0"/>
          <w:marRight w:val="0"/>
          <w:marTop w:val="0"/>
          <w:marBottom w:val="0"/>
          <w:divBdr>
            <w:top w:val="none" w:sz="0" w:space="0" w:color="auto"/>
            <w:left w:val="none" w:sz="0" w:space="0" w:color="auto"/>
            <w:bottom w:val="none" w:sz="0" w:space="0" w:color="auto"/>
            <w:right w:val="none" w:sz="0" w:space="0" w:color="auto"/>
          </w:divBdr>
        </w:div>
        <w:div w:id="2075464172">
          <w:marLeft w:val="0"/>
          <w:marRight w:val="0"/>
          <w:marTop w:val="0"/>
          <w:marBottom w:val="0"/>
          <w:divBdr>
            <w:top w:val="none" w:sz="0" w:space="0" w:color="auto"/>
            <w:left w:val="none" w:sz="0" w:space="0" w:color="auto"/>
            <w:bottom w:val="none" w:sz="0" w:space="0" w:color="auto"/>
            <w:right w:val="none" w:sz="0" w:space="0" w:color="auto"/>
          </w:divBdr>
        </w:div>
        <w:div w:id="2076467462">
          <w:marLeft w:val="0"/>
          <w:marRight w:val="0"/>
          <w:marTop w:val="0"/>
          <w:marBottom w:val="0"/>
          <w:divBdr>
            <w:top w:val="none" w:sz="0" w:space="0" w:color="auto"/>
            <w:left w:val="none" w:sz="0" w:space="0" w:color="auto"/>
            <w:bottom w:val="none" w:sz="0" w:space="0" w:color="auto"/>
            <w:right w:val="none" w:sz="0" w:space="0" w:color="auto"/>
          </w:divBdr>
          <w:divsChild>
            <w:div w:id="1217737648">
              <w:marLeft w:val="-75"/>
              <w:marRight w:val="0"/>
              <w:marTop w:val="30"/>
              <w:marBottom w:val="30"/>
              <w:divBdr>
                <w:top w:val="none" w:sz="0" w:space="0" w:color="auto"/>
                <w:left w:val="none" w:sz="0" w:space="0" w:color="auto"/>
                <w:bottom w:val="none" w:sz="0" w:space="0" w:color="auto"/>
                <w:right w:val="none" w:sz="0" w:space="0" w:color="auto"/>
              </w:divBdr>
              <w:divsChild>
                <w:div w:id="446896497">
                  <w:marLeft w:val="0"/>
                  <w:marRight w:val="0"/>
                  <w:marTop w:val="0"/>
                  <w:marBottom w:val="0"/>
                  <w:divBdr>
                    <w:top w:val="none" w:sz="0" w:space="0" w:color="auto"/>
                    <w:left w:val="none" w:sz="0" w:space="0" w:color="auto"/>
                    <w:bottom w:val="none" w:sz="0" w:space="0" w:color="auto"/>
                    <w:right w:val="none" w:sz="0" w:space="0" w:color="auto"/>
                  </w:divBdr>
                  <w:divsChild>
                    <w:div w:id="406533806">
                      <w:marLeft w:val="0"/>
                      <w:marRight w:val="0"/>
                      <w:marTop w:val="0"/>
                      <w:marBottom w:val="0"/>
                      <w:divBdr>
                        <w:top w:val="none" w:sz="0" w:space="0" w:color="auto"/>
                        <w:left w:val="none" w:sz="0" w:space="0" w:color="auto"/>
                        <w:bottom w:val="none" w:sz="0" w:space="0" w:color="auto"/>
                        <w:right w:val="none" w:sz="0" w:space="0" w:color="auto"/>
                      </w:divBdr>
                    </w:div>
                    <w:div w:id="550117156">
                      <w:marLeft w:val="0"/>
                      <w:marRight w:val="0"/>
                      <w:marTop w:val="0"/>
                      <w:marBottom w:val="0"/>
                      <w:divBdr>
                        <w:top w:val="none" w:sz="0" w:space="0" w:color="auto"/>
                        <w:left w:val="none" w:sz="0" w:space="0" w:color="auto"/>
                        <w:bottom w:val="none" w:sz="0" w:space="0" w:color="auto"/>
                        <w:right w:val="none" w:sz="0" w:space="0" w:color="auto"/>
                      </w:divBdr>
                    </w:div>
                    <w:div w:id="1197431812">
                      <w:marLeft w:val="0"/>
                      <w:marRight w:val="0"/>
                      <w:marTop w:val="0"/>
                      <w:marBottom w:val="0"/>
                      <w:divBdr>
                        <w:top w:val="none" w:sz="0" w:space="0" w:color="auto"/>
                        <w:left w:val="none" w:sz="0" w:space="0" w:color="auto"/>
                        <w:bottom w:val="none" w:sz="0" w:space="0" w:color="auto"/>
                        <w:right w:val="none" w:sz="0" w:space="0" w:color="auto"/>
                      </w:divBdr>
                    </w:div>
                    <w:div w:id="1395667350">
                      <w:marLeft w:val="0"/>
                      <w:marRight w:val="0"/>
                      <w:marTop w:val="0"/>
                      <w:marBottom w:val="0"/>
                      <w:divBdr>
                        <w:top w:val="none" w:sz="0" w:space="0" w:color="auto"/>
                        <w:left w:val="none" w:sz="0" w:space="0" w:color="auto"/>
                        <w:bottom w:val="none" w:sz="0" w:space="0" w:color="auto"/>
                        <w:right w:val="none" w:sz="0" w:space="0" w:color="auto"/>
                      </w:divBdr>
                    </w:div>
                    <w:div w:id="1414736693">
                      <w:marLeft w:val="0"/>
                      <w:marRight w:val="0"/>
                      <w:marTop w:val="0"/>
                      <w:marBottom w:val="0"/>
                      <w:divBdr>
                        <w:top w:val="none" w:sz="0" w:space="0" w:color="auto"/>
                        <w:left w:val="none" w:sz="0" w:space="0" w:color="auto"/>
                        <w:bottom w:val="none" w:sz="0" w:space="0" w:color="auto"/>
                        <w:right w:val="none" w:sz="0" w:space="0" w:color="auto"/>
                      </w:divBdr>
                    </w:div>
                    <w:div w:id="1626036928">
                      <w:marLeft w:val="0"/>
                      <w:marRight w:val="0"/>
                      <w:marTop w:val="0"/>
                      <w:marBottom w:val="0"/>
                      <w:divBdr>
                        <w:top w:val="none" w:sz="0" w:space="0" w:color="auto"/>
                        <w:left w:val="none" w:sz="0" w:space="0" w:color="auto"/>
                        <w:bottom w:val="none" w:sz="0" w:space="0" w:color="auto"/>
                        <w:right w:val="none" w:sz="0" w:space="0" w:color="auto"/>
                      </w:divBdr>
                    </w:div>
                  </w:divsChild>
                </w:div>
                <w:div w:id="1146623359">
                  <w:marLeft w:val="0"/>
                  <w:marRight w:val="0"/>
                  <w:marTop w:val="0"/>
                  <w:marBottom w:val="0"/>
                  <w:divBdr>
                    <w:top w:val="none" w:sz="0" w:space="0" w:color="auto"/>
                    <w:left w:val="none" w:sz="0" w:space="0" w:color="auto"/>
                    <w:bottom w:val="none" w:sz="0" w:space="0" w:color="auto"/>
                    <w:right w:val="none" w:sz="0" w:space="0" w:color="auto"/>
                  </w:divBdr>
                  <w:divsChild>
                    <w:div w:id="299922152">
                      <w:marLeft w:val="0"/>
                      <w:marRight w:val="0"/>
                      <w:marTop w:val="0"/>
                      <w:marBottom w:val="0"/>
                      <w:divBdr>
                        <w:top w:val="none" w:sz="0" w:space="0" w:color="auto"/>
                        <w:left w:val="none" w:sz="0" w:space="0" w:color="auto"/>
                        <w:bottom w:val="none" w:sz="0" w:space="0" w:color="auto"/>
                        <w:right w:val="none" w:sz="0" w:space="0" w:color="auto"/>
                      </w:divBdr>
                    </w:div>
                    <w:div w:id="960914841">
                      <w:marLeft w:val="0"/>
                      <w:marRight w:val="0"/>
                      <w:marTop w:val="0"/>
                      <w:marBottom w:val="0"/>
                      <w:divBdr>
                        <w:top w:val="none" w:sz="0" w:space="0" w:color="auto"/>
                        <w:left w:val="none" w:sz="0" w:space="0" w:color="auto"/>
                        <w:bottom w:val="none" w:sz="0" w:space="0" w:color="auto"/>
                        <w:right w:val="none" w:sz="0" w:space="0" w:color="auto"/>
                      </w:divBdr>
                    </w:div>
                    <w:div w:id="1511219729">
                      <w:marLeft w:val="0"/>
                      <w:marRight w:val="0"/>
                      <w:marTop w:val="0"/>
                      <w:marBottom w:val="0"/>
                      <w:divBdr>
                        <w:top w:val="none" w:sz="0" w:space="0" w:color="auto"/>
                        <w:left w:val="none" w:sz="0" w:space="0" w:color="auto"/>
                        <w:bottom w:val="none" w:sz="0" w:space="0" w:color="auto"/>
                        <w:right w:val="none" w:sz="0" w:space="0" w:color="auto"/>
                      </w:divBdr>
                    </w:div>
                  </w:divsChild>
                </w:div>
                <w:div w:id="1827932827">
                  <w:marLeft w:val="0"/>
                  <w:marRight w:val="0"/>
                  <w:marTop w:val="0"/>
                  <w:marBottom w:val="0"/>
                  <w:divBdr>
                    <w:top w:val="none" w:sz="0" w:space="0" w:color="auto"/>
                    <w:left w:val="none" w:sz="0" w:space="0" w:color="auto"/>
                    <w:bottom w:val="none" w:sz="0" w:space="0" w:color="auto"/>
                    <w:right w:val="none" w:sz="0" w:space="0" w:color="auto"/>
                  </w:divBdr>
                  <w:divsChild>
                    <w:div w:id="208432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928728">
          <w:marLeft w:val="0"/>
          <w:marRight w:val="0"/>
          <w:marTop w:val="0"/>
          <w:marBottom w:val="0"/>
          <w:divBdr>
            <w:top w:val="none" w:sz="0" w:space="0" w:color="auto"/>
            <w:left w:val="none" w:sz="0" w:space="0" w:color="auto"/>
            <w:bottom w:val="none" w:sz="0" w:space="0" w:color="auto"/>
            <w:right w:val="none" w:sz="0" w:space="0" w:color="auto"/>
          </w:divBdr>
        </w:div>
      </w:divsChild>
    </w:div>
    <w:div w:id="1964653542">
      <w:bodyDiv w:val="1"/>
      <w:marLeft w:val="0"/>
      <w:marRight w:val="0"/>
      <w:marTop w:val="0"/>
      <w:marBottom w:val="0"/>
      <w:divBdr>
        <w:top w:val="none" w:sz="0" w:space="0" w:color="auto"/>
        <w:left w:val="none" w:sz="0" w:space="0" w:color="auto"/>
        <w:bottom w:val="none" w:sz="0" w:space="0" w:color="auto"/>
        <w:right w:val="none" w:sz="0" w:space="0" w:color="auto"/>
      </w:divBdr>
    </w:div>
    <w:div w:id="2090273728">
      <w:bodyDiv w:val="1"/>
      <w:marLeft w:val="0"/>
      <w:marRight w:val="0"/>
      <w:marTop w:val="0"/>
      <w:marBottom w:val="0"/>
      <w:divBdr>
        <w:top w:val="none" w:sz="0" w:space="0" w:color="auto"/>
        <w:left w:val="none" w:sz="0" w:space="0" w:color="auto"/>
        <w:bottom w:val="none" w:sz="0" w:space="0" w:color="auto"/>
        <w:right w:val="none" w:sz="0" w:space="0" w:color="auto"/>
      </w:divBdr>
    </w:div>
    <w:div w:id="2131850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header" Target="header4.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image" Target="media/image5.png"/><Relationship Id="rId27" Type="http://schemas.openxmlformats.org/officeDocument/2006/relationships/header" Target="header6.xml"/></Relationships>
</file>

<file path=word/_rels/footnotes.xml.rels><?xml version="1.0" encoding="UTF-8" standalone="yes"?>
<Relationships xmlns="http://schemas.openxmlformats.org/package/2006/relationships"><Relationship Id="rId8" Type="http://schemas.openxmlformats.org/officeDocument/2006/relationships/hyperlink" Target="https://www.eia.gov/naturalgas/weekly/archivenew_ngwu/2019/09_12/" TargetMode="External"/><Relationship Id="rId3" Type="http://schemas.openxmlformats.org/officeDocument/2006/relationships/hyperlink" Target="https://www.fly2houston.com/biz/about" TargetMode="External"/><Relationship Id="rId7" Type="http://schemas.openxmlformats.org/officeDocument/2006/relationships/hyperlink" Target="https://cockrell.utexas.edu/images/pdfs/UT_Texas_Net_Zero_by_2050_April2022_Full_Report.pdf" TargetMode="External"/><Relationship Id="rId2" Type="http://schemas.openxmlformats.org/officeDocument/2006/relationships/hyperlink" Target="https://porthouston.com/about/our-port/statistics/" TargetMode="External"/><Relationship Id="rId1" Type="http://schemas.openxmlformats.org/officeDocument/2006/relationships/hyperlink" Target="https://www.tmc.edu/" TargetMode="External"/><Relationship Id="rId6" Type="http://schemas.openxmlformats.org/officeDocument/2006/relationships/hyperlink" Target="https://www.doi.org/10.25921/stkw-7w73" TargetMode="External"/><Relationship Id="rId5" Type="http://schemas.openxmlformats.org/officeDocument/2006/relationships/hyperlink" Target="https://www.ncei.noaa.gov/access/billions/" TargetMode="External"/><Relationship Id="rId4" Type="http://schemas.openxmlformats.org/officeDocument/2006/relationships/hyperlink" Target="https://www.houston.org/houston-data/fortune-500-compan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 A C T I V E ! 1 0 9 3 2 4 7 0 2 . 1 < / d o c u m e n t i d >  
     < s e n d e r i d > J B A R K L E Y < / s e n d e r i d >  
     < s e n d e r e m a i l > J A M E S . B A R K L E Y @ B A K E R B O T T S . C O M < / s e n d e r e m a i l >  
     < l a s t m o d i f i e d > 2 0 2 4 - 0 2 - 0 2 T 1 6 : 5 6 : 0 0 . 0 0 0 0 0 0 0 - 0 6 : 0 0 < / l a s t m o d i f i e d >  
     < d a t a b a s e > A C T I V E < / d a t a b a s e >  
 < / 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40826D-FCE2-4C55-82D6-2E896B6B8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3FFBBD-3C23-42E8-AA54-46B44B24D5E4}">
  <ds:schemaRefs>
    <ds:schemaRef ds:uri="http://www.imanage.com/work/xmlschema"/>
  </ds:schemaRefs>
</ds:datastoreItem>
</file>

<file path=customXml/itemProps3.xml><?xml version="1.0" encoding="utf-8"?>
<ds:datastoreItem xmlns:ds="http://schemas.openxmlformats.org/officeDocument/2006/customXml" ds:itemID="{F2C1B708-71AF-487D-9F5B-2E4E31FB2F72}">
  <ds:schemaRefs>
    <ds:schemaRef ds:uri="http://schemas.microsoft.com/office/2006/metadata/properties"/>
    <ds:schemaRef ds:uri="http://schemas.microsoft.com/office/infopath/2007/PartnerControls"/>
    <ds:schemaRef ds:uri="f83f6d80-b32b-4225-9fa8-d2a9096fb9d8"/>
  </ds:schemaRefs>
</ds:datastoreItem>
</file>

<file path=customXml/itemProps4.xml><?xml version="1.0" encoding="utf-8"?>
<ds:datastoreItem xmlns:ds="http://schemas.openxmlformats.org/officeDocument/2006/customXml" ds:itemID="{DF1B2C20-B3B7-4E52-9F47-14AC4F1471BD}">
  <ds:schemaRefs>
    <ds:schemaRef ds:uri="http://schemas.openxmlformats.org/officeDocument/2006/bibliography"/>
  </ds:schemaRefs>
</ds:datastoreItem>
</file>

<file path=customXml/itemProps5.xml><?xml version="1.0" encoding="utf-8"?>
<ds:datastoreItem xmlns:ds="http://schemas.openxmlformats.org/officeDocument/2006/customXml" ds:itemID="{B12C42A9-504A-48EA-A7FE-E41176720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9630</Words>
  <Characters>52601</Characters>
  <Application>Microsoft Office Word</Application>
  <DocSecurity>0</DocSecurity>
  <Lines>438</Lines>
  <Paragraphs>124</Paragraphs>
  <ScaleCrop>false</ScaleCrop>
  <Company/>
  <LinksUpToDate>false</LinksUpToDate>
  <CharactersWithSpaces>62107</CharactersWithSpaces>
  <SharedDoc>false</SharedDoc>
  <HLinks>
    <vt:vector size="54" baseType="variant">
      <vt:variant>
        <vt:i4>1310812</vt:i4>
      </vt:variant>
      <vt:variant>
        <vt:i4>21</vt:i4>
      </vt:variant>
      <vt:variant>
        <vt:i4>0</vt:i4>
      </vt:variant>
      <vt:variant>
        <vt:i4>5</vt:i4>
      </vt:variant>
      <vt:variant>
        <vt:lpwstr>https://www.eia.gov/naturalgas/weekly/archivenew_ngwu/2019/09_12/</vt:lpwstr>
      </vt:variant>
      <vt:variant>
        <vt:lpwstr>:~:text=Freeport%20LNG%20requires%20690%20megawatts,was%20less%20than%2080%20MW</vt:lpwstr>
      </vt:variant>
      <vt:variant>
        <vt:i4>4849680</vt:i4>
      </vt:variant>
      <vt:variant>
        <vt:i4>18</vt:i4>
      </vt:variant>
      <vt:variant>
        <vt:i4>0</vt:i4>
      </vt:variant>
      <vt:variant>
        <vt:i4>5</vt:i4>
      </vt:variant>
      <vt:variant>
        <vt:lpwstr>https://cockrell.utexas.edu/images/pdfs/UT_Texas_Net_Zero_by_2050_April2022_Full_Report.pdf</vt:lpwstr>
      </vt:variant>
      <vt:variant>
        <vt:lpwstr/>
      </vt:variant>
      <vt:variant>
        <vt:i4>3080305</vt:i4>
      </vt:variant>
      <vt:variant>
        <vt:i4>15</vt:i4>
      </vt:variant>
      <vt:variant>
        <vt:i4>0</vt:i4>
      </vt:variant>
      <vt:variant>
        <vt:i4>5</vt:i4>
      </vt:variant>
      <vt:variant>
        <vt:lpwstr>https://www.doi.org/10.25921/stkw-7w73</vt:lpwstr>
      </vt:variant>
      <vt:variant>
        <vt:lpwstr/>
      </vt:variant>
      <vt:variant>
        <vt:i4>7340093</vt:i4>
      </vt:variant>
      <vt:variant>
        <vt:i4>12</vt:i4>
      </vt:variant>
      <vt:variant>
        <vt:i4>0</vt:i4>
      </vt:variant>
      <vt:variant>
        <vt:i4>5</vt:i4>
      </vt:variant>
      <vt:variant>
        <vt:lpwstr>https://www.ncei.noaa.gov/access/billions/</vt:lpwstr>
      </vt:variant>
      <vt:variant>
        <vt:lpwstr/>
      </vt:variant>
      <vt:variant>
        <vt:i4>6422566</vt:i4>
      </vt:variant>
      <vt:variant>
        <vt:i4>9</vt:i4>
      </vt:variant>
      <vt:variant>
        <vt:i4>0</vt:i4>
      </vt:variant>
      <vt:variant>
        <vt:i4>5</vt:i4>
      </vt:variant>
      <vt:variant>
        <vt:lpwstr>https://www.houston.org/houston-data/fortune-500-companies</vt:lpwstr>
      </vt:variant>
      <vt:variant>
        <vt:lpwstr/>
      </vt:variant>
      <vt:variant>
        <vt:i4>5898304</vt:i4>
      </vt:variant>
      <vt:variant>
        <vt:i4>6</vt:i4>
      </vt:variant>
      <vt:variant>
        <vt:i4>0</vt:i4>
      </vt:variant>
      <vt:variant>
        <vt:i4>5</vt:i4>
      </vt:variant>
      <vt:variant>
        <vt:lpwstr>https://www.fly2houston.com/biz/about</vt:lpwstr>
      </vt:variant>
      <vt:variant>
        <vt:lpwstr/>
      </vt:variant>
      <vt:variant>
        <vt:i4>3080296</vt:i4>
      </vt:variant>
      <vt:variant>
        <vt:i4>3</vt:i4>
      </vt:variant>
      <vt:variant>
        <vt:i4>0</vt:i4>
      </vt:variant>
      <vt:variant>
        <vt:i4>5</vt:i4>
      </vt:variant>
      <vt:variant>
        <vt:lpwstr>https://porthouston.com/about/our-port/statistics/</vt:lpwstr>
      </vt:variant>
      <vt:variant>
        <vt:lpwstr/>
      </vt:variant>
      <vt:variant>
        <vt:i4>4194375</vt:i4>
      </vt:variant>
      <vt:variant>
        <vt:i4>0</vt:i4>
      </vt:variant>
      <vt:variant>
        <vt:i4>0</vt:i4>
      </vt:variant>
      <vt:variant>
        <vt:i4>5</vt:i4>
      </vt:variant>
      <vt:variant>
        <vt:lpwstr>https://www.tmc.edu/</vt:lpwstr>
      </vt:variant>
      <vt:variant>
        <vt:lpwstr/>
      </vt:variant>
      <vt:variant>
        <vt:i4>3145791</vt:i4>
      </vt:variant>
      <vt:variant>
        <vt:i4>0</vt:i4>
      </vt:variant>
      <vt:variant>
        <vt:i4>0</vt:i4>
      </vt:variant>
      <vt:variant>
        <vt:i4>5</vt:i4>
      </vt:variant>
      <vt:variant>
        <vt:lpwstr>https://centerpointenergy.sharepoint.com/:x:/r/sites/CNPRateCases-2023TXElectric/Shared Documents/2023 TX Electric/010 Initial Petition/005 Overview Ryan/Workpapers/Workpaper JMR 03 Affordability Efforts.xlsx?d=w4302759f24884a5b9ae9779b770d097c&amp;csf=1&amp;web=1&amp;e=mNFbSN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2024-02-27T19:44:00Z</dcterms:created>
  <dcterms:modified xsi:type="dcterms:W3CDTF">2024-02-27T19:44:00Z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y fmtid="{D5CDD505-2E9C-101B-9397-08002B2CF9AE}" pid="3" name="MSIP_Label_e3ac3a1a-de19-428b-b395-6d250d7743fb_Enabled">
    <vt:lpwstr>true</vt:lpwstr>
  </property>
  <property fmtid="{D5CDD505-2E9C-101B-9397-08002B2CF9AE}" pid="4" name="MSIP_Label_e3ac3a1a-de19-428b-b395-6d250d7743fb_SetDate">
    <vt:lpwstr>2024-02-27T16:48:59Z</vt:lpwstr>
  </property>
  <property fmtid="{D5CDD505-2E9C-101B-9397-08002B2CF9AE}" pid="5" name="MSIP_Label_e3ac3a1a-de19-428b-b395-6d250d7743fb_Method">
    <vt:lpwstr>Standard</vt:lpwstr>
  </property>
  <property fmtid="{D5CDD505-2E9C-101B-9397-08002B2CF9AE}" pid="6" name="MSIP_Label_e3ac3a1a-de19-428b-b395-6d250d7743fb_Name">
    <vt:lpwstr>Internal Use Only</vt:lpwstr>
  </property>
  <property fmtid="{D5CDD505-2E9C-101B-9397-08002B2CF9AE}" pid="7" name="MSIP_Label_e3ac3a1a-de19-428b-b395-6d250d7743fb_SiteId">
    <vt:lpwstr>88cc5fd7-fd78-44b6-ad75-b6915088974f</vt:lpwstr>
  </property>
  <property fmtid="{D5CDD505-2E9C-101B-9397-08002B2CF9AE}" pid="8" name="MSIP_Label_e3ac3a1a-de19-428b-b395-6d250d7743fb_ActionId">
    <vt:lpwstr>69564faf-0eb9-4aac-952b-e3ec51304494</vt:lpwstr>
  </property>
  <property fmtid="{D5CDD505-2E9C-101B-9397-08002B2CF9AE}" pid="9" name="MSIP_Label_e3ac3a1a-de19-428b-b395-6d250d7743fb_ContentBits">
    <vt:lpwstr>0</vt:lpwstr>
  </property>
  <property fmtid="{D5CDD505-2E9C-101B-9397-08002B2CF9AE}" pid="10" name="MediaServiceImageTags">
    <vt:lpwstr/>
  </property>
</Properties>
</file>